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00DA3" w14:textId="77777777" w:rsidR="001F22AA" w:rsidRPr="003F413C" w:rsidRDefault="00CE45FC">
      <w:pPr>
        <w:spacing w:after="40"/>
        <w:rPr>
          <w:rFonts w:ascii="Arial" w:hAnsi="Arial" w:cs="Arial"/>
        </w:rPr>
      </w:pPr>
      <w:r w:rsidRPr="003F413C">
        <w:rPr>
          <w:rFonts w:ascii="Arial" w:hAnsi="Arial" w:cs="Arial"/>
          <w:b/>
          <w:color w:val="5B6470"/>
          <w:sz w:val="16"/>
        </w:rPr>
        <w:t>STRICTLY PRIVATE &amp; CONFIDENTIAL</w:t>
      </w:r>
    </w:p>
    <w:p w14:paraId="38F7D1E6" w14:textId="77777777" w:rsidR="001F22AA" w:rsidRPr="003F413C" w:rsidRDefault="00CE45FC">
      <w:pPr>
        <w:spacing w:after="0"/>
        <w:rPr>
          <w:rFonts w:ascii="Arial" w:hAnsi="Arial" w:cs="Arial"/>
        </w:rPr>
      </w:pPr>
      <w:r w:rsidRPr="003F413C">
        <w:rPr>
          <w:rFonts w:ascii="Arial" w:hAnsi="Arial" w:cs="Arial"/>
          <w:b/>
          <w:color w:val="0A1F44"/>
          <w:sz w:val="34"/>
        </w:rPr>
        <w:t>INVESTMENT COMMITTEE MEMO</w:t>
      </w:r>
    </w:p>
    <w:p w14:paraId="163C3A6D" w14:textId="77777777" w:rsidR="001F22AA" w:rsidRPr="003F413C" w:rsidRDefault="00CE45FC">
      <w:pPr>
        <w:spacing w:after="160"/>
        <w:rPr>
          <w:rFonts w:ascii="Arial" w:hAnsi="Arial" w:cs="Arial"/>
        </w:rPr>
      </w:pPr>
      <w:r w:rsidRPr="003F413C">
        <w:rPr>
          <w:rFonts w:ascii="Arial" w:hAnsi="Arial" w:cs="Arial"/>
          <w:color w:val="5B6470"/>
          <w:sz w:val="21"/>
        </w:rPr>
        <w:t>Decision paper template  ·  [Company or asset and transaction name]</w:t>
      </w:r>
    </w:p>
    <w:tbl>
      <w:tblPr>
        <w:tblW w:w="0" w:type="auto"/>
        <w:tblBorders>
          <w:top w:val="single" w:sz="4" w:space="0" w:color="C7CED9"/>
          <w:left w:val="single" w:sz="4" w:space="0" w:color="C7CED9"/>
          <w:bottom w:val="single" w:sz="4" w:space="0" w:color="C7CED9"/>
          <w:right w:val="single" w:sz="4" w:space="0" w:color="C7CED9"/>
          <w:insideH w:val="single" w:sz="4" w:space="0" w:color="C7CED9"/>
          <w:insideV w:val="single" w:sz="4" w:space="0" w:color="C7CED9"/>
        </w:tblBorders>
        <w:tblLayout w:type="fixed"/>
        <w:tblLook w:val="04A0" w:firstRow="1" w:lastRow="0" w:firstColumn="1" w:lastColumn="0" w:noHBand="0" w:noVBand="1"/>
      </w:tblPr>
      <w:tblGrid>
        <w:gridCol w:w="2592"/>
        <w:gridCol w:w="7200"/>
      </w:tblGrid>
      <w:tr w:rsidR="001F22AA" w:rsidRPr="003F413C" w14:paraId="508BC0D3" w14:textId="77777777">
        <w:tc>
          <w:tcPr>
            <w:tcW w:w="2592" w:type="dxa"/>
            <w:shd w:val="clear" w:color="auto" w:fill="EEF2F8"/>
          </w:tcPr>
          <w:p w14:paraId="1F9A2138" w14:textId="77777777" w:rsidR="001F22AA" w:rsidRPr="003F413C" w:rsidRDefault="00CE45FC">
            <w:pPr>
              <w:spacing w:before="20" w:after="20"/>
              <w:rPr>
                <w:rFonts w:ascii="Arial" w:hAnsi="Arial" w:cs="Arial"/>
              </w:rPr>
            </w:pPr>
            <w:r w:rsidRPr="003F413C">
              <w:rPr>
                <w:rFonts w:ascii="Arial" w:hAnsi="Arial" w:cs="Arial"/>
                <w:b/>
                <w:color w:val="0A1F44"/>
                <w:sz w:val="19"/>
              </w:rPr>
              <w:t>Proposal</w:t>
            </w:r>
          </w:p>
        </w:tc>
        <w:tc>
          <w:tcPr>
            <w:tcW w:w="7200" w:type="dxa"/>
          </w:tcPr>
          <w:p w14:paraId="76F92EF7" w14:textId="77777777" w:rsidR="001F22AA" w:rsidRPr="003F413C" w:rsidRDefault="00CE45FC">
            <w:pPr>
              <w:spacing w:before="20" w:after="20"/>
              <w:rPr>
                <w:rFonts w:ascii="Arial" w:hAnsi="Arial" w:cs="Arial"/>
              </w:rPr>
            </w:pPr>
            <w:r w:rsidRPr="003F413C">
              <w:rPr>
                <w:rFonts w:ascii="Arial" w:hAnsi="Arial" w:cs="Arial"/>
                <w:sz w:val="19"/>
              </w:rPr>
              <w:t>[Company or asset and transaction name]</w:t>
            </w:r>
          </w:p>
        </w:tc>
      </w:tr>
      <w:tr w:rsidR="001F22AA" w:rsidRPr="003F413C" w14:paraId="23DAD1D1" w14:textId="77777777">
        <w:tc>
          <w:tcPr>
            <w:tcW w:w="2592" w:type="dxa"/>
            <w:shd w:val="clear" w:color="auto" w:fill="EEF2F8"/>
          </w:tcPr>
          <w:p w14:paraId="1C714BAD" w14:textId="77777777" w:rsidR="001F22AA" w:rsidRPr="003F413C" w:rsidRDefault="00CE45FC">
            <w:pPr>
              <w:spacing w:before="20" w:after="20"/>
              <w:rPr>
                <w:rFonts w:ascii="Arial" w:hAnsi="Arial" w:cs="Arial"/>
              </w:rPr>
            </w:pPr>
            <w:r w:rsidRPr="003F413C">
              <w:rPr>
                <w:rFonts w:ascii="Arial" w:hAnsi="Arial" w:cs="Arial"/>
                <w:b/>
                <w:color w:val="0A1F44"/>
                <w:sz w:val="19"/>
              </w:rPr>
              <w:t>Prepared for</w:t>
            </w:r>
          </w:p>
        </w:tc>
        <w:tc>
          <w:tcPr>
            <w:tcW w:w="7200" w:type="dxa"/>
          </w:tcPr>
          <w:p w14:paraId="4170EA57" w14:textId="77777777" w:rsidR="001F22AA" w:rsidRPr="003F413C" w:rsidRDefault="00CE45FC">
            <w:pPr>
              <w:spacing w:before="20" w:after="20"/>
              <w:rPr>
                <w:rFonts w:ascii="Arial" w:hAnsi="Arial" w:cs="Arial"/>
              </w:rPr>
            </w:pPr>
            <w:r w:rsidRPr="003F413C">
              <w:rPr>
                <w:rFonts w:ascii="Arial" w:hAnsi="Arial" w:cs="Arial"/>
                <w:sz w:val="19"/>
              </w:rPr>
              <w:t>[Fund or investing entity and authorised committee]</w:t>
            </w:r>
          </w:p>
        </w:tc>
      </w:tr>
      <w:tr w:rsidR="001F22AA" w:rsidRPr="003F413C" w14:paraId="2190B1B4" w14:textId="77777777">
        <w:tc>
          <w:tcPr>
            <w:tcW w:w="2592" w:type="dxa"/>
            <w:shd w:val="clear" w:color="auto" w:fill="EEF2F8"/>
          </w:tcPr>
          <w:p w14:paraId="1CAFF9F9" w14:textId="77777777" w:rsidR="001F22AA" w:rsidRPr="003F413C" w:rsidRDefault="00CE45FC">
            <w:pPr>
              <w:spacing w:before="20" w:after="20"/>
              <w:rPr>
                <w:rFonts w:ascii="Arial" w:hAnsi="Arial" w:cs="Arial"/>
              </w:rPr>
            </w:pPr>
            <w:r w:rsidRPr="003F413C">
              <w:rPr>
                <w:rFonts w:ascii="Arial" w:hAnsi="Arial" w:cs="Arial"/>
                <w:b/>
                <w:color w:val="0A1F44"/>
                <w:sz w:val="19"/>
              </w:rPr>
              <w:t>Prepared by</w:t>
            </w:r>
          </w:p>
        </w:tc>
        <w:tc>
          <w:tcPr>
            <w:tcW w:w="7200" w:type="dxa"/>
          </w:tcPr>
          <w:p w14:paraId="26157E08" w14:textId="77777777" w:rsidR="001F22AA" w:rsidRPr="003F413C" w:rsidRDefault="00CE45FC">
            <w:pPr>
              <w:spacing w:before="20" w:after="20"/>
              <w:rPr>
                <w:rFonts w:ascii="Arial" w:hAnsi="Arial" w:cs="Arial"/>
              </w:rPr>
            </w:pPr>
            <w:r w:rsidRPr="003F413C">
              <w:rPr>
                <w:rFonts w:ascii="Arial" w:hAnsi="Arial" w:cs="Arial"/>
                <w:sz w:val="19"/>
              </w:rPr>
              <w:t>[Deal lead, reviewers and responsible executive]</w:t>
            </w:r>
          </w:p>
        </w:tc>
      </w:tr>
      <w:tr w:rsidR="001F22AA" w:rsidRPr="003F413C" w14:paraId="1B9D67EA" w14:textId="77777777">
        <w:tc>
          <w:tcPr>
            <w:tcW w:w="2592" w:type="dxa"/>
            <w:shd w:val="clear" w:color="auto" w:fill="EEF2F8"/>
          </w:tcPr>
          <w:p w14:paraId="46FE1417" w14:textId="77777777" w:rsidR="001F22AA" w:rsidRPr="003F413C" w:rsidRDefault="00CE45FC">
            <w:pPr>
              <w:spacing w:before="20" w:after="20"/>
              <w:rPr>
                <w:rFonts w:ascii="Arial" w:hAnsi="Arial" w:cs="Arial"/>
              </w:rPr>
            </w:pPr>
            <w:r w:rsidRPr="003F413C">
              <w:rPr>
                <w:rFonts w:ascii="Arial" w:hAnsi="Arial" w:cs="Arial"/>
                <w:b/>
                <w:color w:val="0A1F44"/>
                <w:sz w:val="19"/>
              </w:rPr>
              <w:t>Committee date and version</w:t>
            </w:r>
          </w:p>
        </w:tc>
        <w:tc>
          <w:tcPr>
            <w:tcW w:w="7200" w:type="dxa"/>
          </w:tcPr>
          <w:p w14:paraId="1C559E0F" w14:textId="77777777" w:rsidR="001F22AA" w:rsidRPr="003F413C" w:rsidRDefault="00CE45FC">
            <w:pPr>
              <w:spacing w:before="20" w:after="20"/>
              <w:rPr>
                <w:rFonts w:ascii="Arial" w:hAnsi="Arial" w:cs="Arial"/>
              </w:rPr>
            </w:pPr>
            <w:r w:rsidRPr="003F413C">
              <w:rPr>
                <w:rFonts w:ascii="Arial" w:hAnsi="Arial" w:cs="Arial"/>
                <w:sz w:val="19"/>
              </w:rPr>
              <w:t>[Date, document version and evidence cut-off date]</w:t>
            </w:r>
          </w:p>
        </w:tc>
      </w:tr>
      <w:tr w:rsidR="001F22AA" w:rsidRPr="003F413C" w14:paraId="48AEC8C9" w14:textId="77777777">
        <w:tc>
          <w:tcPr>
            <w:tcW w:w="2592" w:type="dxa"/>
            <w:shd w:val="clear" w:color="auto" w:fill="EEF2F8"/>
          </w:tcPr>
          <w:p w14:paraId="00A833E9" w14:textId="77777777" w:rsidR="001F22AA" w:rsidRPr="003F413C" w:rsidRDefault="00CE45FC">
            <w:pPr>
              <w:spacing w:before="20" w:after="20"/>
              <w:rPr>
                <w:rFonts w:ascii="Arial" w:hAnsi="Arial" w:cs="Arial"/>
              </w:rPr>
            </w:pPr>
            <w:r w:rsidRPr="003F413C">
              <w:rPr>
                <w:rFonts w:ascii="Arial" w:hAnsi="Arial" w:cs="Arial"/>
                <w:b/>
                <w:color w:val="0A1F44"/>
                <w:sz w:val="19"/>
              </w:rPr>
              <w:t>Distribution classification</w:t>
            </w:r>
          </w:p>
        </w:tc>
        <w:tc>
          <w:tcPr>
            <w:tcW w:w="7200" w:type="dxa"/>
          </w:tcPr>
          <w:p w14:paraId="4FDC1216" w14:textId="77777777" w:rsidR="001F22AA" w:rsidRPr="003F413C" w:rsidRDefault="00CE45FC">
            <w:pPr>
              <w:spacing w:before="20" w:after="20"/>
              <w:rPr>
                <w:rFonts w:ascii="Arial" w:hAnsi="Arial" w:cs="Arial"/>
              </w:rPr>
            </w:pPr>
            <w:r w:rsidRPr="003F413C">
              <w:rPr>
                <w:rFonts w:ascii="Arial" w:hAnsi="Arial" w:cs="Arial"/>
                <w:sz w:val="19"/>
              </w:rPr>
              <w:t>[Apply your organisation's confidentiality policy]</w:t>
            </w:r>
          </w:p>
        </w:tc>
      </w:tr>
      <w:tr w:rsidR="001F22AA" w:rsidRPr="003F413C" w14:paraId="55DDAFA0" w14:textId="77777777">
        <w:tc>
          <w:tcPr>
            <w:tcW w:w="2592" w:type="dxa"/>
            <w:shd w:val="clear" w:color="auto" w:fill="EEF2F8"/>
          </w:tcPr>
          <w:p w14:paraId="74599072" w14:textId="77777777" w:rsidR="001F22AA" w:rsidRPr="003F413C" w:rsidRDefault="00CE45FC">
            <w:pPr>
              <w:spacing w:before="20" w:after="20"/>
              <w:rPr>
                <w:rFonts w:ascii="Arial" w:hAnsi="Arial" w:cs="Arial"/>
              </w:rPr>
            </w:pPr>
            <w:r w:rsidRPr="003F413C">
              <w:rPr>
                <w:rFonts w:ascii="Arial" w:hAnsi="Arial" w:cs="Arial"/>
                <w:b/>
                <w:color w:val="0A1F44"/>
                <w:sz w:val="19"/>
              </w:rPr>
              <w:t>MatchPoint owner</w:t>
            </w:r>
          </w:p>
        </w:tc>
        <w:tc>
          <w:tcPr>
            <w:tcW w:w="7200" w:type="dxa"/>
          </w:tcPr>
          <w:p w14:paraId="2B0765EB" w14:textId="77777777" w:rsidR="001F22AA" w:rsidRPr="003F413C" w:rsidRDefault="00CE45FC">
            <w:pPr>
              <w:spacing w:before="20" w:after="20"/>
              <w:rPr>
                <w:rFonts w:ascii="Arial" w:hAnsi="Arial" w:cs="Arial"/>
              </w:rPr>
            </w:pPr>
            <w:r w:rsidRPr="003F413C">
              <w:rPr>
                <w:rFonts w:ascii="Arial" w:hAnsi="Arial" w:cs="Arial"/>
                <w:sz w:val="19"/>
              </w:rPr>
              <w:t>[Deal lead]</w:t>
            </w:r>
          </w:p>
        </w:tc>
      </w:tr>
      <w:tr w:rsidR="001F22AA" w:rsidRPr="003F413C" w14:paraId="2BD0845F" w14:textId="77777777">
        <w:tc>
          <w:tcPr>
            <w:tcW w:w="2592" w:type="dxa"/>
            <w:shd w:val="clear" w:color="auto" w:fill="EEF2F8"/>
          </w:tcPr>
          <w:p w14:paraId="34A7835D" w14:textId="77777777" w:rsidR="001F22AA" w:rsidRPr="003F413C" w:rsidRDefault="00CE45FC">
            <w:pPr>
              <w:spacing w:before="20" w:after="20"/>
              <w:rPr>
                <w:rFonts w:ascii="Arial" w:hAnsi="Arial" w:cs="Arial"/>
              </w:rPr>
            </w:pPr>
            <w:r w:rsidRPr="003F413C">
              <w:rPr>
                <w:rFonts w:ascii="Arial" w:hAnsi="Arial" w:cs="Arial"/>
                <w:b/>
                <w:color w:val="0A1F44"/>
                <w:sz w:val="19"/>
              </w:rPr>
              <w:t>Status</w:t>
            </w:r>
          </w:p>
        </w:tc>
        <w:tc>
          <w:tcPr>
            <w:tcW w:w="7200" w:type="dxa"/>
          </w:tcPr>
          <w:p w14:paraId="19675264" w14:textId="77777777" w:rsidR="001F22AA" w:rsidRPr="003F413C" w:rsidRDefault="00CE45FC">
            <w:pPr>
              <w:spacing w:before="20" w:after="20"/>
              <w:rPr>
                <w:rFonts w:ascii="Arial" w:hAnsi="Arial" w:cs="Arial"/>
              </w:rPr>
            </w:pPr>
            <w:r w:rsidRPr="003F413C">
              <w:rPr>
                <w:rFonts w:ascii="Arial" w:hAnsi="Arial" w:cs="Arial"/>
                <w:sz w:val="19"/>
              </w:rPr>
              <w:t>[Draft / For decision / Approved]</w:t>
            </w:r>
          </w:p>
        </w:tc>
      </w:tr>
      <w:tr w:rsidR="001F22AA" w:rsidRPr="003F413C" w14:paraId="6E3AB95C" w14:textId="77777777">
        <w:tc>
          <w:tcPr>
            <w:tcW w:w="2592" w:type="dxa"/>
            <w:shd w:val="clear" w:color="auto" w:fill="EEF2F8"/>
          </w:tcPr>
          <w:p w14:paraId="7972F345" w14:textId="77777777" w:rsidR="001F22AA" w:rsidRPr="003F413C" w:rsidRDefault="00CE45FC">
            <w:pPr>
              <w:spacing w:before="20" w:after="20"/>
              <w:rPr>
                <w:rFonts w:ascii="Arial" w:hAnsi="Arial" w:cs="Arial"/>
              </w:rPr>
            </w:pPr>
            <w:r w:rsidRPr="003F413C">
              <w:rPr>
                <w:rFonts w:ascii="Arial" w:hAnsi="Arial" w:cs="Arial"/>
                <w:b/>
                <w:color w:val="0A1F44"/>
                <w:sz w:val="19"/>
              </w:rPr>
              <w:t>Date</w:t>
            </w:r>
          </w:p>
        </w:tc>
        <w:tc>
          <w:tcPr>
            <w:tcW w:w="7200" w:type="dxa"/>
          </w:tcPr>
          <w:p w14:paraId="49EB9833" w14:textId="77777777" w:rsidR="001F22AA" w:rsidRPr="003F413C" w:rsidRDefault="00CE45FC">
            <w:pPr>
              <w:spacing w:before="20" w:after="20"/>
              <w:rPr>
                <w:rFonts w:ascii="Arial" w:hAnsi="Arial" w:cs="Arial"/>
              </w:rPr>
            </w:pPr>
            <w:r w:rsidRPr="003F413C">
              <w:rPr>
                <w:rFonts w:ascii="Arial" w:hAnsi="Arial" w:cs="Arial"/>
                <w:sz w:val="19"/>
              </w:rPr>
              <w:t>[DD-Mmm-YYYY]</w:t>
            </w:r>
          </w:p>
        </w:tc>
      </w:tr>
    </w:tbl>
    <w:p w14:paraId="5DE600A5" w14:textId="77777777" w:rsidR="001F22AA" w:rsidRPr="003F413C" w:rsidRDefault="00CE45FC">
      <w:pPr>
        <w:spacing w:before="160" w:after="80"/>
        <w:rPr>
          <w:rFonts w:ascii="Arial" w:hAnsi="Arial" w:cs="Arial"/>
        </w:rPr>
      </w:pPr>
      <w:r w:rsidRPr="003F413C">
        <w:rPr>
          <w:rFonts w:ascii="Arial" w:hAnsi="Arial" w:cs="Arial"/>
          <w:b/>
          <w:color w:val="0A1F44"/>
          <w:sz w:val="21"/>
        </w:rPr>
        <w:t xml:space="preserve">Purpose:  </w:t>
      </w:r>
      <w:r w:rsidRPr="003F413C">
        <w:rPr>
          <w:rFonts w:ascii="Arial" w:hAnsi="Arial" w:cs="Arial"/>
          <w:i/>
          <w:sz w:val="21"/>
        </w:rPr>
        <w:t>Use this paper to record the investment decision requested, the supporting evidence, material assumptions, downside cases and approval conditions. Replace bracketed prompts, expand the sections required by your committee and remove unused fields.</w:t>
      </w:r>
    </w:p>
    <w:p w14:paraId="5BB3AE74" w14:textId="77777777" w:rsidR="001F22AA" w:rsidRPr="003F413C" w:rsidRDefault="00CE45FC">
      <w:pPr>
        <w:spacing w:before="120"/>
        <w:rPr>
          <w:rFonts w:ascii="Arial" w:hAnsi="Arial" w:cs="Arial"/>
        </w:rPr>
      </w:pPr>
      <w:r w:rsidRPr="003F413C">
        <w:rPr>
          <w:rFonts w:ascii="Arial" w:hAnsi="Arial" w:cs="Arial"/>
          <w:b/>
          <w:color w:val="0A1F44"/>
          <w:sz w:val="19"/>
        </w:rPr>
        <w:t xml:space="preserve">How to use this template:  </w:t>
      </w:r>
      <w:r w:rsidRPr="003F413C">
        <w:rPr>
          <w:rFonts w:ascii="Arial" w:hAnsi="Arial" w:cs="Arial"/>
          <w:color w:val="5B6470"/>
          <w:sz w:val="19"/>
        </w:rPr>
        <w:t>replace every bracketed placeholder with the deal's facts and the source they rest on; delete any field that does not apply rather than leaving it blank; keep the numbering so the decision record in Section 12 can refer to it. The contents page updates automatically when the document is opened in Word.</w:t>
      </w:r>
    </w:p>
    <w:p w14:paraId="1738834A" w14:textId="77777777" w:rsidR="001F22AA" w:rsidRPr="003F413C" w:rsidRDefault="00CE45FC">
      <w:pPr>
        <w:rPr>
          <w:rFonts w:ascii="Arial" w:hAnsi="Arial" w:cs="Arial"/>
        </w:rPr>
      </w:pPr>
      <w:r w:rsidRPr="003F413C">
        <w:rPr>
          <w:rFonts w:ascii="Arial" w:hAnsi="Arial" w:cs="Arial"/>
        </w:rPr>
        <w:br w:type="page"/>
      </w:r>
    </w:p>
    <w:p w14:paraId="6E117DFB" w14:textId="77777777" w:rsidR="001F22AA" w:rsidRPr="003F413C" w:rsidRDefault="00CE45FC">
      <w:pPr>
        <w:spacing w:after="120"/>
        <w:rPr>
          <w:rFonts w:ascii="Arial" w:hAnsi="Arial" w:cs="Arial"/>
        </w:rPr>
      </w:pPr>
      <w:r w:rsidRPr="003F413C">
        <w:rPr>
          <w:rFonts w:ascii="Arial" w:hAnsi="Arial" w:cs="Arial"/>
          <w:b/>
          <w:color w:val="0A1F44"/>
          <w:sz w:val="26"/>
        </w:rPr>
        <w:lastRenderedPageBreak/>
        <w:t>Contents</w:t>
      </w:r>
    </w:p>
    <w:p w14:paraId="673F5C65" w14:textId="28845DE8" w:rsidR="002B4392" w:rsidRPr="003F413C" w:rsidRDefault="00CE45FC">
      <w:pPr>
        <w:pStyle w:val="TOC1"/>
        <w:tabs>
          <w:tab w:val="right" w:leader="dot" w:pos="9980"/>
        </w:tabs>
        <w:rPr>
          <w:rFonts w:ascii="Arial" w:eastAsiaTheme="minorEastAsia" w:hAnsi="Arial" w:cs="Arial"/>
          <w:noProof/>
          <w:kern w:val="2"/>
          <w:sz w:val="24"/>
          <w:szCs w:val="24"/>
          <w:lang w:val="en-US"/>
          <w14:ligatures w14:val="standardContextual"/>
        </w:rPr>
      </w:pPr>
      <w:r w:rsidRPr="003F413C">
        <w:rPr>
          <w:rFonts w:ascii="Arial" w:hAnsi="Arial" w:cs="Arial"/>
        </w:rPr>
        <w:fldChar w:fldCharType="begin"/>
      </w:r>
      <w:r w:rsidRPr="003F413C">
        <w:rPr>
          <w:rFonts w:ascii="Arial" w:hAnsi="Arial" w:cs="Arial"/>
        </w:rPr>
        <w:instrText>TOC \o "1-2" \h \z \u</w:instrText>
      </w:r>
      <w:r w:rsidRPr="003F413C">
        <w:rPr>
          <w:rFonts w:ascii="Arial" w:hAnsi="Arial" w:cs="Arial"/>
        </w:rPr>
        <w:fldChar w:fldCharType="separate"/>
      </w:r>
      <w:hyperlink w:anchor="_Toc239590000" w:history="1">
        <w:r w:rsidR="002B4392" w:rsidRPr="003F413C">
          <w:rPr>
            <w:rStyle w:val="Hyperlink"/>
            <w:rFonts w:ascii="Arial" w:hAnsi="Arial" w:cs="Arial"/>
            <w:noProof/>
          </w:rPr>
          <w:t>Part A.  Decision and recommendation</w:t>
        </w:r>
        <w:r w:rsidR="002B4392" w:rsidRPr="003F413C">
          <w:rPr>
            <w:rFonts w:ascii="Arial" w:hAnsi="Arial" w:cs="Arial"/>
            <w:noProof/>
            <w:webHidden/>
          </w:rPr>
          <w:tab/>
        </w:r>
        <w:r w:rsidR="002B4392" w:rsidRPr="003F413C">
          <w:rPr>
            <w:rFonts w:ascii="Arial" w:hAnsi="Arial" w:cs="Arial"/>
            <w:noProof/>
            <w:webHidden/>
          </w:rPr>
          <w:fldChar w:fldCharType="begin"/>
        </w:r>
        <w:r w:rsidR="002B4392" w:rsidRPr="003F413C">
          <w:rPr>
            <w:rFonts w:ascii="Arial" w:hAnsi="Arial" w:cs="Arial"/>
            <w:noProof/>
            <w:webHidden/>
          </w:rPr>
          <w:instrText xml:space="preserve"> PAGEREF _Toc239590000 \h </w:instrText>
        </w:r>
        <w:r w:rsidR="002B4392" w:rsidRPr="003F413C">
          <w:rPr>
            <w:rFonts w:ascii="Arial" w:hAnsi="Arial" w:cs="Arial"/>
            <w:noProof/>
            <w:webHidden/>
          </w:rPr>
        </w:r>
        <w:r w:rsidR="002B4392" w:rsidRPr="003F413C">
          <w:rPr>
            <w:rFonts w:ascii="Arial" w:hAnsi="Arial" w:cs="Arial"/>
            <w:noProof/>
            <w:webHidden/>
          </w:rPr>
          <w:fldChar w:fldCharType="separate"/>
        </w:r>
        <w:r w:rsidR="002B4392" w:rsidRPr="003F413C">
          <w:rPr>
            <w:rFonts w:ascii="Arial" w:hAnsi="Arial" w:cs="Arial"/>
            <w:noProof/>
            <w:webHidden/>
          </w:rPr>
          <w:t>3</w:t>
        </w:r>
        <w:r w:rsidR="002B4392" w:rsidRPr="003F413C">
          <w:rPr>
            <w:rFonts w:ascii="Arial" w:hAnsi="Arial" w:cs="Arial"/>
            <w:noProof/>
            <w:webHidden/>
          </w:rPr>
          <w:fldChar w:fldCharType="end"/>
        </w:r>
      </w:hyperlink>
    </w:p>
    <w:p w14:paraId="04C88921" w14:textId="77F4E71B"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01" w:history="1">
        <w:r w:rsidRPr="003F413C">
          <w:rPr>
            <w:rStyle w:val="Hyperlink"/>
            <w:rFonts w:ascii="Arial" w:hAnsi="Arial" w:cs="Arial"/>
            <w:noProof/>
          </w:rPr>
          <w:t>1.  Decision requested</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_Toc239590001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3</w:t>
        </w:r>
        <w:r w:rsidRPr="003F413C">
          <w:rPr>
            <w:rFonts w:ascii="Arial" w:hAnsi="Arial" w:cs="Arial"/>
            <w:noProof/>
            <w:webHidden/>
          </w:rPr>
          <w:fldChar w:fldCharType="end"/>
        </w:r>
      </w:hyperlink>
    </w:p>
    <w:p w14:paraId="1C4162D3" w14:textId="4AC4AEE9"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02" w:history="1">
        <w:r w:rsidRPr="003F413C">
          <w:rPr>
            <w:rStyle w:val="Hyperlink"/>
            <w:rFonts w:ascii="Arial" w:hAnsi="Arial" w:cs="Arial"/>
            <w:noProof/>
          </w:rPr>
          <w:t>2.  Executive recommendation</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_Toc239590002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3</w:t>
        </w:r>
        <w:r w:rsidRPr="003F413C">
          <w:rPr>
            <w:rFonts w:ascii="Arial" w:hAnsi="Arial" w:cs="Arial"/>
            <w:noProof/>
            <w:webHidden/>
          </w:rPr>
          <w:fldChar w:fldCharType="end"/>
        </w:r>
      </w:hyperlink>
    </w:p>
    <w:p w14:paraId="1378F619" w14:textId="4F03C6BE" w:rsidR="002B4392" w:rsidRPr="003F413C" w:rsidRDefault="002B4392">
      <w:pPr>
        <w:pStyle w:val="TOC1"/>
        <w:tabs>
          <w:tab w:val="right" w:leader="dot" w:pos="9980"/>
        </w:tabs>
        <w:rPr>
          <w:rFonts w:ascii="Arial" w:eastAsiaTheme="minorEastAsia" w:hAnsi="Arial" w:cs="Arial"/>
          <w:noProof/>
          <w:kern w:val="2"/>
          <w:sz w:val="24"/>
          <w:szCs w:val="24"/>
          <w:lang w:val="en-US"/>
          <w14:ligatures w14:val="standardContextual"/>
        </w:rPr>
      </w:pPr>
      <w:hyperlink w:anchor="_Toc239590003" w:history="1">
        <w:r w:rsidRPr="003F413C">
          <w:rPr>
            <w:rStyle w:val="Hyperlink"/>
            <w:rFonts w:ascii="Arial" w:hAnsi="Arial" w:cs="Arial"/>
            <w:noProof/>
          </w:rPr>
          <w:t>Part B.  Transaction and investment thesis</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_Toc239590003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4</w:t>
        </w:r>
        <w:r w:rsidRPr="003F413C">
          <w:rPr>
            <w:rFonts w:ascii="Arial" w:hAnsi="Arial" w:cs="Arial"/>
            <w:noProof/>
            <w:webHidden/>
          </w:rPr>
          <w:fldChar w:fldCharType="end"/>
        </w:r>
      </w:hyperlink>
    </w:p>
    <w:p w14:paraId="2285CE76" w14:textId="28D76C14"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04" w:history="1">
        <w:r w:rsidRPr="003F413C">
          <w:rPr>
            <w:rStyle w:val="Hyperlink"/>
            <w:rFonts w:ascii="Arial" w:hAnsi="Arial" w:cs="Arial"/>
            <w:noProof/>
          </w:rPr>
          <w:t>3.  Transaction overview</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_Toc239590004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4</w:t>
        </w:r>
        <w:r w:rsidRPr="003F413C">
          <w:rPr>
            <w:rFonts w:ascii="Arial" w:hAnsi="Arial" w:cs="Arial"/>
            <w:noProof/>
            <w:webHidden/>
          </w:rPr>
          <w:fldChar w:fldCharType="end"/>
        </w:r>
      </w:hyperlink>
    </w:p>
    <w:p w14:paraId="024E533F" w14:textId="788F8DFF"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05" w:history="1">
        <w:r w:rsidRPr="003F413C">
          <w:rPr>
            <w:rStyle w:val="Hyperlink"/>
            <w:rFonts w:ascii="Arial" w:hAnsi="Arial" w:cs="Arial"/>
            <w:noProof/>
          </w:rPr>
          <w:t>4.  Investment thesis</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_Toc239590005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4</w:t>
        </w:r>
        <w:r w:rsidRPr="003F413C">
          <w:rPr>
            <w:rFonts w:ascii="Arial" w:hAnsi="Arial" w:cs="Arial"/>
            <w:noProof/>
            <w:webHidden/>
          </w:rPr>
          <w:fldChar w:fldCharType="end"/>
        </w:r>
      </w:hyperlink>
    </w:p>
    <w:p w14:paraId="11DC4B37" w14:textId="6CEDE49C"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06" w:history="1">
        <w:r w:rsidRPr="003F413C">
          <w:rPr>
            <w:rStyle w:val="Hyperlink"/>
            <w:rFonts w:ascii="Arial" w:hAnsi="Arial" w:cs="Arial"/>
            <w:noProof/>
          </w:rPr>
          <w:t>5.  Market and competition</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_Toc239590006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4</w:t>
        </w:r>
        <w:r w:rsidRPr="003F413C">
          <w:rPr>
            <w:rFonts w:ascii="Arial" w:hAnsi="Arial" w:cs="Arial"/>
            <w:noProof/>
            <w:webHidden/>
          </w:rPr>
          <w:fldChar w:fldCharType="end"/>
        </w:r>
      </w:hyperlink>
    </w:p>
    <w:p w14:paraId="4B3E40B8" w14:textId="1F8B00AD" w:rsidR="002B4392" w:rsidRPr="003F413C" w:rsidRDefault="002B4392">
      <w:pPr>
        <w:pStyle w:val="TOC1"/>
        <w:tabs>
          <w:tab w:val="right" w:leader="dot" w:pos="9980"/>
        </w:tabs>
        <w:rPr>
          <w:rFonts w:ascii="Arial" w:eastAsiaTheme="minorEastAsia" w:hAnsi="Arial" w:cs="Arial"/>
          <w:noProof/>
          <w:kern w:val="2"/>
          <w:sz w:val="24"/>
          <w:szCs w:val="24"/>
          <w:lang w:val="en-US"/>
          <w14:ligatures w14:val="standardContextual"/>
        </w:rPr>
      </w:pPr>
      <w:hyperlink w:anchor="_Toc239590007" w:history="1">
        <w:r w:rsidRPr="003F413C">
          <w:rPr>
            <w:rStyle w:val="Hyperlink"/>
            <w:rFonts w:ascii="Arial" w:hAnsi="Arial" w:cs="Arial"/>
            <w:noProof/>
          </w:rPr>
          <w:t>Part C.  Underwriting and governance</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_Toc239590007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5</w:t>
        </w:r>
        <w:r w:rsidRPr="003F413C">
          <w:rPr>
            <w:rFonts w:ascii="Arial" w:hAnsi="Arial" w:cs="Arial"/>
            <w:noProof/>
            <w:webHidden/>
          </w:rPr>
          <w:fldChar w:fldCharType="end"/>
        </w:r>
      </w:hyperlink>
    </w:p>
    <w:p w14:paraId="2E45A51E" w14:textId="19FB3FAF"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08" w:history="1">
        <w:r w:rsidRPr="003F413C">
          <w:rPr>
            <w:rStyle w:val="Hyperlink"/>
            <w:rFonts w:ascii="Arial" w:hAnsi="Arial" w:cs="Arial"/>
            <w:noProof/>
          </w:rPr>
          <w:t>6.  Business or asset underwriting</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_Toc239590008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5</w:t>
        </w:r>
        <w:r w:rsidRPr="003F413C">
          <w:rPr>
            <w:rFonts w:ascii="Arial" w:hAnsi="Arial" w:cs="Arial"/>
            <w:noProof/>
            <w:webHidden/>
          </w:rPr>
          <w:fldChar w:fldCharType="end"/>
        </w:r>
      </w:hyperlink>
    </w:p>
    <w:p w14:paraId="40DC344F" w14:textId="27C5EAC1"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09" w:history="1">
        <w:r w:rsidRPr="003F413C">
          <w:rPr>
            <w:rStyle w:val="Hyperlink"/>
            <w:rFonts w:ascii="Arial" w:hAnsi="Arial" w:cs="Arial"/>
            <w:noProof/>
          </w:rPr>
          <w:t>7.  Management and governance</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_Toc239590009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5</w:t>
        </w:r>
        <w:r w:rsidRPr="003F413C">
          <w:rPr>
            <w:rFonts w:ascii="Arial" w:hAnsi="Arial" w:cs="Arial"/>
            <w:noProof/>
            <w:webHidden/>
          </w:rPr>
          <w:fldChar w:fldCharType="end"/>
        </w:r>
      </w:hyperlink>
    </w:p>
    <w:p w14:paraId="5ACF8E51" w14:textId="174D5526" w:rsidR="002B4392" w:rsidRPr="003F413C" w:rsidRDefault="002B4392">
      <w:pPr>
        <w:pStyle w:val="TOC1"/>
        <w:tabs>
          <w:tab w:val="right" w:leader="dot" w:pos="9980"/>
        </w:tabs>
        <w:rPr>
          <w:rFonts w:ascii="Arial" w:eastAsiaTheme="minorEastAsia" w:hAnsi="Arial" w:cs="Arial"/>
          <w:noProof/>
          <w:kern w:val="2"/>
          <w:sz w:val="24"/>
          <w:szCs w:val="24"/>
          <w:lang w:val="en-US"/>
          <w14:ligatures w14:val="standardContextual"/>
        </w:rPr>
      </w:pPr>
      <w:hyperlink w:anchor="_Toc239590010" w:history="1">
        <w:r w:rsidRPr="003F413C">
          <w:rPr>
            <w:rStyle w:val="Hyperlink"/>
            <w:rFonts w:ascii="Arial" w:hAnsi="Arial" w:cs="Arial"/>
            <w:noProof/>
          </w:rPr>
          <w:t>Part D.  Valuation, returns and financing</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_Toc239590010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6</w:t>
        </w:r>
        <w:r w:rsidRPr="003F413C">
          <w:rPr>
            <w:rFonts w:ascii="Arial" w:hAnsi="Arial" w:cs="Arial"/>
            <w:noProof/>
            <w:webHidden/>
          </w:rPr>
          <w:fldChar w:fldCharType="end"/>
        </w:r>
      </w:hyperlink>
    </w:p>
    <w:p w14:paraId="6793AE89" w14:textId="7AB004A7"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11" w:history="1">
        <w:r w:rsidRPr="003F413C">
          <w:rPr>
            <w:rStyle w:val="Hyperlink"/>
            <w:rFonts w:ascii="Arial" w:hAnsi="Arial" w:cs="Arial"/>
            <w:noProof/>
          </w:rPr>
          <w:t>8.  Valuation and returns</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_Toc239590011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6</w:t>
        </w:r>
        <w:r w:rsidRPr="003F413C">
          <w:rPr>
            <w:rFonts w:ascii="Arial" w:hAnsi="Arial" w:cs="Arial"/>
            <w:noProof/>
            <w:webHidden/>
          </w:rPr>
          <w:fldChar w:fldCharType="end"/>
        </w:r>
      </w:hyperlink>
    </w:p>
    <w:p w14:paraId="279BBA4D" w14:textId="5E436331"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12" w:history="1">
        <w:r w:rsidRPr="003F413C">
          <w:rPr>
            <w:rStyle w:val="Hyperlink"/>
            <w:rFonts w:ascii="Arial" w:hAnsi="Arial" w:cs="Arial"/>
            <w:noProof/>
          </w:rPr>
          <w:t>9.  Financing and capital structure</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_Toc239590012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6</w:t>
        </w:r>
        <w:r w:rsidRPr="003F413C">
          <w:rPr>
            <w:rFonts w:ascii="Arial" w:hAnsi="Arial" w:cs="Arial"/>
            <w:noProof/>
            <w:webHidden/>
          </w:rPr>
          <w:fldChar w:fldCharType="end"/>
        </w:r>
      </w:hyperlink>
    </w:p>
    <w:p w14:paraId="1C46F178" w14:textId="1192C3D0" w:rsidR="002B4392" w:rsidRPr="003F413C" w:rsidRDefault="002B4392">
      <w:pPr>
        <w:pStyle w:val="TOC1"/>
        <w:tabs>
          <w:tab w:val="right" w:leader="dot" w:pos="9980"/>
        </w:tabs>
        <w:rPr>
          <w:rFonts w:ascii="Arial" w:eastAsiaTheme="minorEastAsia" w:hAnsi="Arial" w:cs="Arial"/>
          <w:noProof/>
          <w:kern w:val="2"/>
          <w:sz w:val="24"/>
          <w:szCs w:val="24"/>
          <w:lang w:val="en-US"/>
          <w14:ligatures w14:val="standardContextual"/>
        </w:rPr>
      </w:pPr>
      <w:hyperlink w:anchor="_Toc239590013" w:history="1">
        <w:r w:rsidRPr="003F413C">
          <w:rPr>
            <w:rStyle w:val="Hyperlink"/>
            <w:rFonts w:ascii="Arial" w:hAnsi="Arial" w:cs="Arial"/>
            <w:noProof/>
          </w:rPr>
          <w:t>Part E.  Diligence and risk assessment</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_Toc239590013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7</w:t>
        </w:r>
        <w:r w:rsidRPr="003F413C">
          <w:rPr>
            <w:rFonts w:ascii="Arial" w:hAnsi="Arial" w:cs="Arial"/>
            <w:noProof/>
            <w:webHidden/>
          </w:rPr>
          <w:fldChar w:fldCharType="end"/>
        </w:r>
      </w:hyperlink>
    </w:p>
    <w:p w14:paraId="68AA45BC" w14:textId="2122059B"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14" w:history="1">
        <w:r w:rsidRPr="003F413C">
          <w:rPr>
            <w:rStyle w:val="Hyperlink"/>
            <w:rFonts w:ascii="Arial" w:hAnsi="Arial" w:cs="Arial"/>
            <w:noProof/>
          </w:rPr>
          <w:t>10.  Diligence findings</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_Toc239590014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7</w:t>
        </w:r>
        <w:r w:rsidRPr="003F413C">
          <w:rPr>
            <w:rFonts w:ascii="Arial" w:hAnsi="Arial" w:cs="Arial"/>
            <w:noProof/>
            <w:webHidden/>
          </w:rPr>
          <w:fldChar w:fldCharType="end"/>
        </w:r>
      </w:hyperlink>
    </w:p>
    <w:p w14:paraId="67421F87" w14:textId="2E281901"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15" w:history="1">
        <w:r w:rsidRPr="003F413C">
          <w:rPr>
            <w:rStyle w:val="Hyperlink"/>
            <w:rFonts w:ascii="Arial" w:hAnsi="Arial" w:cs="Arial"/>
            <w:noProof/>
          </w:rPr>
          <w:t>11.  Risks and mitigants</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_Toc239590015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7</w:t>
        </w:r>
        <w:r w:rsidRPr="003F413C">
          <w:rPr>
            <w:rFonts w:ascii="Arial" w:hAnsi="Arial" w:cs="Arial"/>
            <w:noProof/>
            <w:webHidden/>
          </w:rPr>
          <w:fldChar w:fldCharType="end"/>
        </w:r>
      </w:hyperlink>
    </w:p>
    <w:p w14:paraId="6EC05CE6" w14:textId="5A4B6E3F" w:rsidR="002B4392" w:rsidRPr="003F413C" w:rsidRDefault="002B4392">
      <w:pPr>
        <w:pStyle w:val="TOC1"/>
        <w:tabs>
          <w:tab w:val="right" w:leader="dot" w:pos="9980"/>
        </w:tabs>
        <w:rPr>
          <w:rFonts w:ascii="Arial" w:eastAsiaTheme="minorEastAsia" w:hAnsi="Arial" w:cs="Arial"/>
          <w:noProof/>
          <w:kern w:val="2"/>
          <w:sz w:val="24"/>
          <w:szCs w:val="24"/>
          <w:lang w:val="en-US"/>
          <w14:ligatures w14:val="standardContextual"/>
        </w:rPr>
      </w:pPr>
      <w:hyperlink w:anchor="_Toc239590016" w:history="1">
        <w:r w:rsidRPr="003F413C">
          <w:rPr>
            <w:rStyle w:val="Hyperlink"/>
            <w:rFonts w:ascii="Arial" w:hAnsi="Arial" w:cs="Arial"/>
            <w:noProof/>
          </w:rPr>
          <w:t>Part F.  Approval conditions and decision record</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_Toc239590016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8</w:t>
        </w:r>
        <w:r w:rsidRPr="003F413C">
          <w:rPr>
            <w:rFonts w:ascii="Arial" w:hAnsi="Arial" w:cs="Arial"/>
            <w:noProof/>
            <w:webHidden/>
          </w:rPr>
          <w:fldChar w:fldCharType="end"/>
        </w:r>
      </w:hyperlink>
    </w:p>
    <w:p w14:paraId="64B8E21B" w14:textId="67C9DB75"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17" w:history="1">
        <w:r w:rsidRPr="003F413C">
          <w:rPr>
            <w:rStyle w:val="Hyperlink"/>
            <w:rFonts w:ascii="Arial" w:hAnsi="Arial" w:cs="Arial"/>
            <w:noProof/>
          </w:rPr>
          <w:t>12.  Conditions and monitoring</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_Toc239590017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8</w:t>
        </w:r>
        <w:r w:rsidRPr="003F413C">
          <w:rPr>
            <w:rFonts w:ascii="Arial" w:hAnsi="Arial" w:cs="Arial"/>
            <w:noProof/>
            <w:webHidden/>
          </w:rPr>
          <w:fldChar w:fldCharType="end"/>
        </w:r>
      </w:hyperlink>
    </w:p>
    <w:p w14:paraId="23C71E12" w14:textId="63960F36"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18" w:history="1">
        <w:r w:rsidRPr="003F413C">
          <w:rPr>
            <w:rStyle w:val="Hyperlink"/>
            <w:rFonts w:ascii="Arial" w:hAnsi="Arial" w:cs="Arial"/>
            <w:noProof/>
          </w:rPr>
          <w:t>13.  Committee decision record</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_Toc239590018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8</w:t>
        </w:r>
        <w:r w:rsidRPr="003F413C">
          <w:rPr>
            <w:rFonts w:ascii="Arial" w:hAnsi="Arial" w:cs="Arial"/>
            <w:noProof/>
            <w:webHidden/>
          </w:rPr>
          <w:fldChar w:fldCharType="end"/>
        </w:r>
      </w:hyperlink>
    </w:p>
    <w:p w14:paraId="28D96079" w14:textId="3D7AD397" w:rsidR="002B4392" w:rsidRPr="003F413C" w:rsidRDefault="002B4392">
      <w:pPr>
        <w:pStyle w:val="TOC2"/>
        <w:tabs>
          <w:tab w:val="right" w:leader="dot" w:pos="9980"/>
        </w:tabs>
        <w:rPr>
          <w:rFonts w:ascii="Arial" w:eastAsiaTheme="minorEastAsia" w:hAnsi="Arial" w:cs="Arial"/>
          <w:noProof/>
          <w:kern w:val="2"/>
          <w:sz w:val="24"/>
          <w:szCs w:val="24"/>
          <w:lang w:val="en-US"/>
          <w14:ligatures w14:val="standardContextual"/>
        </w:rPr>
      </w:pPr>
      <w:hyperlink w:anchor="_Toc239590019" w:history="1">
        <w:r w:rsidRPr="003F413C">
          <w:rPr>
            <w:rStyle w:val="Hyperlink"/>
            <w:rFonts w:ascii="Arial" w:hAnsi="Arial" w:cs="Arial"/>
            <w:noProof/>
          </w:rPr>
          <w:t>14.  Pack control checklist</w:t>
        </w:r>
        <w:r w:rsidRPr="003F413C">
          <w:rPr>
            <w:rFonts w:ascii="Arial" w:hAnsi="Arial" w:cs="Arial"/>
            <w:noProof/>
            <w:webHidden/>
          </w:rPr>
          <w:tab/>
        </w:r>
        <w:r w:rsidRPr="003F413C">
          <w:rPr>
            <w:rFonts w:ascii="Arial" w:hAnsi="Arial" w:cs="Arial"/>
            <w:noProof/>
            <w:webHidden/>
          </w:rPr>
          <w:fldChar w:fldCharType="begin"/>
        </w:r>
        <w:r w:rsidRPr="003F413C">
          <w:rPr>
            <w:rFonts w:ascii="Arial" w:hAnsi="Arial" w:cs="Arial"/>
            <w:noProof/>
            <w:webHidden/>
          </w:rPr>
          <w:instrText xml:space="preserve"> PAGEREF _Toc239590019 \h </w:instrText>
        </w:r>
        <w:r w:rsidRPr="003F413C">
          <w:rPr>
            <w:rFonts w:ascii="Arial" w:hAnsi="Arial" w:cs="Arial"/>
            <w:noProof/>
            <w:webHidden/>
          </w:rPr>
        </w:r>
        <w:r w:rsidRPr="003F413C">
          <w:rPr>
            <w:rFonts w:ascii="Arial" w:hAnsi="Arial" w:cs="Arial"/>
            <w:noProof/>
            <w:webHidden/>
          </w:rPr>
          <w:fldChar w:fldCharType="separate"/>
        </w:r>
        <w:r w:rsidRPr="003F413C">
          <w:rPr>
            <w:rFonts w:ascii="Arial" w:hAnsi="Arial" w:cs="Arial"/>
            <w:noProof/>
            <w:webHidden/>
          </w:rPr>
          <w:t>8</w:t>
        </w:r>
        <w:r w:rsidRPr="003F413C">
          <w:rPr>
            <w:rFonts w:ascii="Arial" w:hAnsi="Arial" w:cs="Arial"/>
            <w:noProof/>
            <w:webHidden/>
          </w:rPr>
          <w:fldChar w:fldCharType="end"/>
        </w:r>
      </w:hyperlink>
    </w:p>
    <w:p w14:paraId="301AE6B1" w14:textId="3656C3D2" w:rsidR="001F22AA" w:rsidRPr="003F413C" w:rsidRDefault="00CE45FC">
      <w:pPr>
        <w:rPr>
          <w:rFonts w:ascii="Arial" w:hAnsi="Arial" w:cs="Arial"/>
        </w:rPr>
      </w:pPr>
      <w:r w:rsidRPr="003F413C">
        <w:rPr>
          <w:rFonts w:ascii="Arial" w:hAnsi="Arial" w:cs="Arial"/>
        </w:rPr>
        <w:fldChar w:fldCharType="end"/>
      </w:r>
    </w:p>
    <w:p w14:paraId="1310EC58" w14:textId="77777777" w:rsidR="001F22AA" w:rsidRPr="003F413C" w:rsidRDefault="00CE45FC">
      <w:pPr>
        <w:rPr>
          <w:rFonts w:ascii="Arial" w:hAnsi="Arial" w:cs="Arial"/>
        </w:rPr>
      </w:pPr>
      <w:r w:rsidRPr="003F413C">
        <w:rPr>
          <w:rFonts w:ascii="Arial" w:hAnsi="Arial" w:cs="Arial"/>
        </w:rPr>
        <w:br w:type="page"/>
      </w:r>
    </w:p>
    <w:p w14:paraId="0B47AFDB" w14:textId="77777777" w:rsidR="001F22AA" w:rsidRPr="003F413C" w:rsidRDefault="00CE45FC" w:rsidP="003F413C">
      <w:pPr>
        <w:pStyle w:val="Heading1"/>
        <w:keepNext/>
        <w:spacing w:before="280" w:after="60"/>
        <w:jc w:val="center"/>
        <w:rPr>
          <w:rFonts w:ascii="Arial" w:hAnsi="Arial" w:cs="Arial"/>
        </w:rPr>
      </w:pPr>
      <w:bookmarkStart w:id="0" w:name="_Toc239590000"/>
      <w:r w:rsidRPr="003F413C">
        <w:rPr>
          <w:rFonts w:ascii="Arial" w:hAnsi="Arial" w:cs="Arial"/>
        </w:rPr>
        <w:lastRenderedPageBreak/>
        <w:t>Part A.  Decision and recommendation</w:t>
      </w:r>
      <w:bookmarkEnd w:id="0"/>
    </w:p>
    <w:p w14:paraId="58322DC3" w14:textId="77777777" w:rsidR="001F22AA" w:rsidRPr="003F413C" w:rsidRDefault="00CE45FC">
      <w:pPr>
        <w:pStyle w:val="Heading2"/>
        <w:spacing w:before="220" w:after="60"/>
        <w:rPr>
          <w:rFonts w:ascii="Arial" w:hAnsi="Arial" w:cs="Arial"/>
        </w:rPr>
      </w:pPr>
      <w:bookmarkStart w:id="1" w:name="_Toc239590001"/>
      <w:r w:rsidRPr="003F413C">
        <w:rPr>
          <w:rFonts w:ascii="Arial" w:hAnsi="Arial" w:cs="Arial"/>
        </w:rPr>
        <w:t>1.  Decision requested</w:t>
      </w:r>
      <w:bookmarkEnd w:id="1"/>
    </w:p>
    <w:p w14:paraId="18127D71"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Approval sought.  </w:t>
      </w:r>
      <w:r w:rsidRPr="003F413C">
        <w:rPr>
          <w:rFonts w:ascii="Arial" w:hAnsi="Arial" w:cs="Arial"/>
          <w:i/>
          <w:color w:val="7A8492"/>
          <w:sz w:val="20"/>
        </w:rPr>
        <w:t>[Transaction, entity, instrument, amount, currency and authority requested]</w:t>
      </w:r>
    </w:p>
    <w:p w14:paraId="1863053C"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Recommendation.  </w:t>
      </w:r>
      <w:r w:rsidRPr="003F413C">
        <w:rPr>
          <w:rFonts w:ascii="Arial" w:hAnsi="Arial" w:cs="Arial"/>
          <w:i/>
          <w:color w:val="7A8492"/>
          <w:sz w:val="20"/>
        </w:rPr>
        <w:t>[Approve, approve with conditions, defer or decline; give the deal team's reasons]</w:t>
      </w:r>
    </w:p>
    <w:p w14:paraId="29CC9694"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Limits and conditions.  </w:t>
      </w:r>
      <w:r w:rsidRPr="003F413C">
        <w:rPr>
          <w:rFonts w:ascii="Arial" w:hAnsi="Arial" w:cs="Arial"/>
          <w:i/>
          <w:color w:val="7A8492"/>
          <w:sz w:val="20"/>
        </w:rPr>
        <w:t>[Authority limits, outstanding approvals and conditions to commitment]</w:t>
      </w:r>
    </w:p>
    <w:p w14:paraId="28B9860E" w14:textId="77777777" w:rsidR="001F22AA" w:rsidRPr="003F413C" w:rsidRDefault="00CE45FC">
      <w:pPr>
        <w:pStyle w:val="Heading2"/>
        <w:spacing w:before="220" w:after="60"/>
        <w:rPr>
          <w:rFonts w:ascii="Arial" w:hAnsi="Arial" w:cs="Arial"/>
        </w:rPr>
      </w:pPr>
      <w:bookmarkStart w:id="2" w:name="_Toc239590002"/>
      <w:r w:rsidRPr="003F413C">
        <w:rPr>
          <w:rFonts w:ascii="Arial" w:hAnsi="Arial" w:cs="Arial"/>
        </w:rPr>
        <w:t>2.  Executive recommendation</w:t>
      </w:r>
      <w:bookmarkEnd w:id="2"/>
    </w:p>
    <w:p w14:paraId="70589C34"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Investment rationale.  </w:t>
      </w:r>
      <w:r w:rsidRPr="003F413C">
        <w:rPr>
          <w:rFonts w:ascii="Arial" w:hAnsi="Arial" w:cs="Arial"/>
          <w:i/>
          <w:color w:val="7A8492"/>
          <w:sz w:val="20"/>
        </w:rPr>
        <w:t>[Summarise the thesis and the strongest supporting evidence]</w:t>
      </w:r>
    </w:p>
    <w:p w14:paraId="126D5DEC"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Economics.  </w:t>
      </w:r>
      <w:r w:rsidRPr="003F413C">
        <w:rPr>
          <w:rFonts w:ascii="Arial" w:hAnsi="Arial" w:cs="Arial"/>
          <w:i/>
          <w:color w:val="7A8492"/>
          <w:sz w:val="20"/>
        </w:rPr>
        <w:t>[Entry value, capital commitment, return measures and measurement period]</w:t>
      </w:r>
    </w:p>
    <w:p w14:paraId="08B8D0EC"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Principal downside.  </w:t>
      </w:r>
      <w:r w:rsidRPr="003F413C">
        <w:rPr>
          <w:rFonts w:ascii="Arial" w:hAnsi="Arial" w:cs="Arial"/>
          <w:i/>
          <w:color w:val="7A8492"/>
          <w:sz w:val="20"/>
        </w:rPr>
        <w:t>[State the most material loss mechanism and the assumption it depends on]</w:t>
      </w:r>
    </w:p>
    <w:p w14:paraId="3533AB54"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Unresolved issue.  </w:t>
      </w:r>
      <w:r w:rsidRPr="003F413C">
        <w:rPr>
          <w:rFonts w:ascii="Arial" w:hAnsi="Arial" w:cs="Arial"/>
          <w:i/>
          <w:color w:val="7A8492"/>
          <w:sz w:val="20"/>
        </w:rPr>
        <w:t>[Identify what could change the recommendation and who will resolve it]</w:t>
      </w:r>
    </w:p>
    <w:p w14:paraId="1A4074D5" w14:textId="77777777" w:rsidR="001F22AA" w:rsidRPr="003F413C" w:rsidRDefault="00CE45FC">
      <w:pPr>
        <w:spacing w:after="80" w:line="264" w:lineRule="auto"/>
        <w:jc w:val="both"/>
        <w:rPr>
          <w:rFonts w:ascii="Arial" w:hAnsi="Arial" w:cs="Arial"/>
        </w:rPr>
      </w:pPr>
      <w:r w:rsidRPr="003F413C">
        <w:rPr>
          <w:rFonts w:ascii="Arial" w:hAnsi="Arial" w:cs="Arial"/>
          <w:i/>
          <w:color w:val="5B6470"/>
          <w:sz w:val="19"/>
        </w:rPr>
        <w:t>Record the authorised committee's final decision in Section 12. The deal team owns the recommendation; the committee retains approval authority. This template does not constitute an investment recommendation or replace specialist review.</w:t>
      </w:r>
    </w:p>
    <w:p w14:paraId="35CED583" w14:textId="77777777" w:rsidR="001F22AA" w:rsidRPr="003F413C" w:rsidRDefault="00CE45FC">
      <w:pPr>
        <w:rPr>
          <w:rFonts w:ascii="Arial" w:hAnsi="Arial" w:cs="Arial"/>
        </w:rPr>
      </w:pPr>
      <w:r w:rsidRPr="003F413C">
        <w:rPr>
          <w:rFonts w:ascii="Arial" w:hAnsi="Arial" w:cs="Arial"/>
        </w:rPr>
        <w:br w:type="page"/>
      </w:r>
    </w:p>
    <w:p w14:paraId="5AE1DD07" w14:textId="77777777" w:rsidR="001F22AA" w:rsidRPr="003F413C" w:rsidRDefault="00CE45FC" w:rsidP="003F413C">
      <w:pPr>
        <w:pStyle w:val="Heading1"/>
        <w:keepNext/>
        <w:spacing w:before="280" w:after="60"/>
        <w:jc w:val="center"/>
        <w:rPr>
          <w:rFonts w:ascii="Arial" w:hAnsi="Arial" w:cs="Arial"/>
        </w:rPr>
      </w:pPr>
      <w:bookmarkStart w:id="3" w:name="_Toc239590003"/>
      <w:r w:rsidRPr="003F413C">
        <w:rPr>
          <w:rFonts w:ascii="Arial" w:hAnsi="Arial" w:cs="Arial"/>
        </w:rPr>
        <w:lastRenderedPageBreak/>
        <w:t>Part B.  Transaction and investment thesis</w:t>
      </w:r>
      <w:bookmarkEnd w:id="3"/>
    </w:p>
    <w:p w14:paraId="25E9389A" w14:textId="77777777" w:rsidR="001F22AA" w:rsidRPr="003F413C" w:rsidRDefault="00CE45FC">
      <w:pPr>
        <w:pStyle w:val="Heading2"/>
        <w:spacing w:before="220" w:after="60"/>
        <w:rPr>
          <w:rFonts w:ascii="Arial" w:hAnsi="Arial" w:cs="Arial"/>
        </w:rPr>
      </w:pPr>
      <w:bookmarkStart w:id="4" w:name="_Toc239590004"/>
      <w:r w:rsidRPr="003F413C">
        <w:rPr>
          <w:rFonts w:ascii="Arial" w:hAnsi="Arial" w:cs="Arial"/>
        </w:rPr>
        <w:t>3.  Transaction overview</w:t>
      </w:r>
      <w:bookmarkEnd w:id="4"/>
    </w:p>
    <w:p w14:paraId="7F2D245D"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Perimeter.  </w:t>
      </w:r>
      <w:r w:rsidRPr="003F413C">
        <w:rPr>
          <w:rFonts w:ascii="Arial" w:hAnsi="Arial" w:cs="Arial"/>
          <w:i/>
          <w:color w:val="7A8492"/>
          <w:sz w:val="20"/>
        </w:rPr>
        <w:t>[Assets, shares or instruments; included and excluded entities and obligations]</w:t>
      </w:r>
    </w:p>
    <w:p w14:paraId="01D8FB60"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Counterparties and ownership.  </w:t>
      </w:r>
      <w:r w:rsidRPr="003F413C">
        <w:rPr>
          <w:rFonts w:ascii="Arial" w:hAnsi="Arial" w:cs="Arial"/>
          <w:i/>
          <w:color w:val="7A8492"/>
          <w:sz w:val="20"/>
        </w:rPr>
        <w:t>[Buyer, seller, sponsor, beneficial owners and current or proposed structure]</w:t>
      </w:r>
    </w:p>
    <w:p w14:paraId="7C304173"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Terms and timetable.  </w:t>
      </w:r>
      <w:r w:rsidRPr="003F413C">
        <w:rPr>
          <w:rFonts w:ascii="Arial" w:hAnsi="Arial" w:cs="Arial"/>
          <w:i/>
          <w:color w:val="7A8492"/>
          <w:sz w:val="20"/>
        </w:rPr>
        <w:t>[Key commercial terms, exclusivity, approvals and expected milestones]</w:t>
      </w:r>
    </w:p>
    <w:tbl>
      <w:tblPr>
        <w:tblW w:w="0" w:type="auto"/>
        <w:tblBorders>
          <w:top w:val="single" w:sz="4" w:space="0" w:color="C7CED9"/>
          <w:left w:val="single" w:sz="4" w:space="0" w:color="C7CED9"/>
          <w:bottom w:val="single" w:sz="4" w:space="0" w:color="C7CED9"/>
          <w:right w:val="single" w:sz="4" w:space="0" w:color="C7CED9"/>
          <w:insideH w:val="single" w:sz="4" w:space="0" w:color="C7CED9"/>
          <w:insideV w:val="single" w:sz="4" w:space="0" w:color="C7CED9"/>
        </w:tblBorders>
        <w:tblLayout w:type="fixed"/>
        <w:tblLook w:val="04A0" w:firstRow="1" w:lastRow="0" w:firstColumn="1" w:lastColumn="0" w:noHBand="0" w:noVBand="1"/>
      </w:tblPr>
      <w:tblGrid>
        <w:gridCol w:w="2497"/>
        <w:gridCol w:w="2497"/>
        <w:gridCol w:w="2497"/>
        <w:gridCol w:w="2497"/>
      </w:tblGrid>
      <w:tr w:rsidR="001F22AA" w:rsidRPr="003F413C" w14:paraId="093128A5" w14:textId="77777777">
        <w:tc>
          <w:tcPr>
            <w:tcW w:w="2497" w:type="dxa"/>
            <w:shd w:val="clear" w:color="auto" w:fill="0A1F44"/>
          </w:tcPr>
          <w:p w14:paraId="624BE618" w14:textId="77777777" w:rsidR="001F22AA" w:rsidRPr="003F413C" w:rsidRDefault="00CE45FC">
            <w:pPr>
              <w:spacing w:before="20" w:after="20"/>
              <w:rPr>
                <w:rFonts w:ascii="Arial" w:hAnsi="Arial" w:cs="Arial"/>
              </w:rPr>
            </w:pPr>
            <w:r w:rsidRPr="003F413C">
              <w:rPr>
                <w:rFonts w:ascii="Arial" w:hAnsi="Arial" w:cs="Arial"/>
                <w:b/>
                <w:color w:val="FFFFFF"/>
                <w:sz w:val="19"/>
              </w:rPr>
              <w:t>Sources of funds</w:t>
            </w:r>
          </w:p>
        </w:tc>
        <w:tc>
          <w:tcPr>
            <w:tcW w:w="2497" w:type="dxa"/>
            <w:shd w:val="clear" w:color="auto" w:fill="0A1F44"/>
          </w:tcPr>
          <w:p w14:paraId="14C7074E" w14:textId="77777777" w:rsidR="001F22AA" w:rsidRPr="003F413C" w:rsidRDefault="00CE45FC">
            <w:pPr>
              <w:spacing w:before="20" w:after="20"/>
              <w:rPr>
                <w:rFonts w:ascii="Arial" w:hAnsi="Arial" w:cs="Arial"/>
              </w:rPr>
            </w:pPr>
            <w:r w:rsidRPr="003F413C">
              <w:rPr>
                <w:rFonts w:ascii="Arial" w:hAnsi="Arial" w:cs="Arial"/>
                <w:b/>
                <w:color w:val="FFFFFF"/>
                <w:sz w:val="19"/>
              </w:rPr>
              <w:t>Amount and currency</w:t>
            </w:r>
          </w:p>
        </w:tc>
        <w:tc>
          <w:tcPr>
            <w:tcW w:w="2497" w:type="dxa"/>
            <w:shd w:val="clear" w:color="auto" w:fill="0A1F44"/>
          </w:tcPr>
          <w:p w14:paraId="326FF3FC" w14:textId="77777777" w:rsidR="001F22AA" w:rsidRPr="003F413C" w:rsidRDefault="00CE45FC">
            <w:pPr>
              <w:spacing w:before="20" w:after="20"/>
              <w:rPr>
                <w:rFonts w:ascii="Arial" w:hAnsi="Arial" w:cs="Arial"/>
              </w:rPr>
            </w:pPr>
            <w:r w:rsidRPr="003F413C">
              <w:rPr>
                <w:rFonts w:ascii="Arial" w:hAnsi="Arial" w:cs="Arial"/>
                <w:b/>
                <w:color w:val="FFFFFF"/>
                <w:sz w:val="19"/>
              </w:rPr>
              <w:t>Uses of funds</w:t>
            </w:r>
          </w:p>
        </w:tc>
        <w:tc>
          <w:tcPr>
            <w:tcW w:w="2497" w:type="dxa"/>
            <w:shd w:val="clear" w:color="auto" w:fill="0A1F44"/>
          </w:tcPr>
          <w:p w14:paraId="0BEFCA50" w14:textId="77777777" w:rsidR="001F22AA" w:rsidRPr="003F413C" w:rsidRDefault="00CE45FC">
            <w:pPr>
              <w:spacing w:before="20" w:after="20"/>
              <w:rPr>
                <w:rFonts w:ascii="Arial" w:hAnsi="Arial" w:cs="Arial"/>
              </w:rPr>
            </w:pPr>
            <w:r w:rsidRPr="003F413C">
              <w:rPr>
                <w:rFonts w:ascii="Arial" w:hAnsi="Arial" w:cs="Arial"/>
                <w:b/>
                <w:color w:val="FFFFFF"/>
                <w:sz w:val="19"/>
              </w:rPr>
              <w:t>Amount and currency</w:t>
            </w:r>
          </w:p>
        </w:tc>
      </w:tr>
      <w:tr w:rsidR="001F22AA" w:rsidRPr="003F413C" w14:paraId="7B0A9029" w14:textId="77777777">
        <w:tc>
          <w:tcPr>
            <w:tcW w:w="2497" w:type="dxa"/>
          </w:tcPr>
          <w:p w14:paraId="3DF103A7" w14:textId="77777777" w:rsidR="001F22AA" w:rsidRPr="003F413C" w:rsidRDefault="00CE45FC">
            <w:pPr>
              <w:spacing w:before="20" w:after="20"/>
              <w:rPr>
                <w:rFonts w:ascii="Arial" w:hAnsi="Arial" w:cs="Arial"/>
              </w:rPr>
            </w:pPr>
            <w:r w:rsidRPr="003F413C">
              <w:rPr>
                <w:rFonts w:ascii="Arial" w:hAnsi="Arial" w:cs="Arial"/>
                <w:b/>
                <w:i/>
                <w:color w:val="7A8492"/>
                <w:sz w:val="19"/>
              </w:rPr>
              <w:t>[Equity source]</w:t>
            </w:r>
          </w:p>
        </w:tc>
        <w:tc>
          <w:tcPr>
            <w:tcW w:w="2497" w:type="dxa"/>
          </w:tcPr>
          <w:p w14:paraId="622602F8"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674CD41C" w14:textId="77777777" w:rsidR="001F22AA" w:rsidRPr="003F413C" w:rsidRDefault="00CE45FC">
            <w:pPr>
              <w:spacing w:before="20" w:after="20"/>
              <w:rPr>
                <w:rFonts w:ascii="Arial" w:hAnsi="Arial" w:cs="Arial"/>
              </w:rPr>
            </w:pPr>
            <w:r w:rsidRPr="003F413C">
              <w:rPr>
                <w:rFonts w:ascii="Arial" w:hAnsi="Arial" w:cs="Arial"/>
                <w:i/>
                <w:color w:val="7A8492"/>
                <w:sz w:val="19"/>
              </w:rPr>
              <w:t>[Consideration]</w:t>
            </w:r>
          </w:p>
        </w:tc>
        <w:tc>
          <w:tcPr>
            <w:tcW w:w="2497" w:type="dxa"/>
          </w:tcPr>
          <w:p w14:paraId="09722538"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0A787441" w14:textId="77777777">
        <w:tc>
          <w:tcPr>
            <w:tcW w:w="2497" w:type="dxa"/>
            <w:shd w:val="clear" w:color="auto" w:fill="EEF2F8"/>
          </w:tcPr>
          <w:p w14:paraId="5F496549" w14:textId="77777777" w:rsidR="001F22AA" w:rsidRPr="003F413C" w:rsidRDefault="00CE45FC">
            <w:pPr>
              <w:spacing w:before="20" w:after="20"/>
              <w:rPr>
                <w:rFonts w:ascii="Arial" w:hAnsi="Arial" w:cs="Arial"/>
              </w:rPr>
            </w:pPr>
            <w:r w:rsidRPr="003F413C">
              <w:rPr>
                <w:rFonts w:ascii="Arial" w:hAnsi="Arial" w:cs="Arial"/>
                <w:b/>
                <w:i/>
                <w:color w:val="7A8492"/>
                <w:sz w:val="19"/>
              </w:rPr>
              <w:t>[Debt source]</w:t>
            </w:r>
          </w:p>
        </w:tc>
        <w:tc>
          <w:tcPr>
            <w:tcW w:w="2497" w:type="dxa"/>
            <w:shd w:val="clear" w:color="auto" w:fill="EEF2F8"/>
          </w:tcPr>
          <w:p w14:paraId="1DBF8D0B"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5892AB92" w14:textId="77777777" w:rsidR="001F22AA" w:rsidRPr="003F413C" w:rsidRDefault="00CE45FC">
            <w:pPr>
              <w:spacing w:before="20" w:after="20"/>
              <w:rPr>
                <w:rFonts w:ascii="Arial" w:hAnsi="Arial" w:cs="Arial"/>
              </w:rPr>
            </w:pPr>
            <w:r w:rsidRPr="003F413C">
              <w:rPr>
                <w:rFonts w:ascii="Arial" w:hAnsi="Arial" w:cs="Arial"/>
                <w:i/>
                <w:color w:val="7A8492"/>
                <w:sz w:val="19"/>
              </w:rPr>
              <w:t>[Fees and other uses]</w:t>
            </w:r>
          </w:p>
        </w:tc>
        <w:tc>
          <w:tcPr>
            <w:tcW w:w="2497" w:type="dxa"/>
            <w:shd w:val="clear" w:color="auto" w:fill="EEF2F8"/>
          </w:tcPr>
          <w:p w14:paraId="0DCCF24F"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302FB171" w14:textId="77777777">
        <w:tc>
          <w:tcPr>
            <w:tcW w:w="2497" w:type="dxa"/>
          </w:tcPr>
          <w:p w14:paraId="4A1093E4" w14:textId="77777777" w:rsidR="001F22AA" w:rsidRPr="003F413C" w:rsidRDefault="00CE45FC">
            <w:pPr>
              <w:spacing w:before="20" w:after="20"/>
              <w:rPr>
                <w:rFonts w:ascii="Arial" w:hAnsi="Arial" w:cs="Arial"/>
              </w:rPr>
            </w:pPr>
            <w:r w:rsidRPr="003F413C">
              <w:rPr>
                <w:rFonts w:ascii="Arial" w:hAnsi="Arial" w:cs="Arial"/>
                <w:b/>
                <w:i/>
                <w:color w:val="7A8492"/>
                <w:sz w:val="19"/>
              </w:rPr>
              <w:t>[Total sources]</w:t>
            </w:r>
          </w:p>
        </w:tc>
        <w:tc>
          <w:tcPr>
            <w:tcW w:w="2497" w:type="dxa"/>
          </w:tcPr>
          <w:p w14:paraId="79066718"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05ADF8B0" w14:textId="77777777" w:rsidR="001F22AA" w:rsidRPr="003F413C" w:rsidRDefault="00CE45FC">
            <w:pPr>
              <w:spacing w:before="20" w:after="20"/>
              <w:rPr>
                <w:rFonts w:ascii="Arial" w:hAnsi="Arial" w:cs="Arial"/>
              </w:rPr>
            </w:pPr>
            <w:r w:rsidRPr="003F413C">
              <w:rPr>
                <w:rFonts w:ascii="Arial" w:hAnsi="Arial" w:cs="Arial"/>
                <w:i/>
                <w:color w:val="7A8492"/>
                <w:sz w:val="19"/>
              </w:rPr>
              <w:t>[Total uses]</w:t>
            </w:r>
          </w:p>
        </w:tc>
        <w:tc>
          <w:tcPr>
            <w:tcW w:w="2497" w:type="dxa"/>
          </w:tcPr>
          <w:p w14:paraId="7E2A19E0"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bl>
    <w:p w14:paraId="30B71AB0" w14:textId="77777777" w:rsidR="001F22AA" w:rsidRPr="003F413C" w:rsidRDefault="001F22AA">
      <w:pPr>
        <w:spacing w:after="40"/>
        <w:rPr>
          <w:rFonts w:ascii="Arial" w:hAnsi="Arial" w:cs="Arial"/>
        </w:rPr>
      </w:pPr>
    </w:p>
    <w:p w14:paraId="7B879538" w14:textId="77777777" w:rsidR="001F22AA" w:rsidRPr="003F413C" w:rsidRDefault="00CE45FC">
      <w:pPr>
        <w:pStyle w:val="Heading2"/>
        <w:spacing w:before="220" w:after="60"/>
        <w:rPr>
          <w:rFonts w:ascii="Arial" w:hAnsi="Arial" w:cs="Arial"/>
        </w:rPr>
      </w:pPr>
      <w:bookmarkStart w:id="5" w:name="_Toc239590005"/>
      <w:r w:rsidRPr="003F413C">
        <w:rPr>
          <w:rFonts w:ascii="Arial" w:hAnsi="Arial" w:cs="Arial"/>
        </w:rPr>
        <w:t>4.  Investment thesis</w:t>
      </w:r>
      <w:bookmarkEnd w:id="5"/>
    </w:p>
    <w:p w14:paraId="1B7489E5"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Value drivers.  </w:t>
      </w:r>
      <w:r w:rsidRPr="003F413C">
        <w:rPr>
          <w:rFonts w:ascii="Arial" w:hAnsi="Arial" w:cs="Arial"/>
          <w:i/>
          <w:color w:val="7A8492"/>
          <w:sz w:val="20"/>
        </w:rPr>
        <w:t>[Explain the drivers of cash flow or strategic value and the evidence for each]</w:t>
      </w:r>
    </w:p>
    <w:p w14:paraId="60DAD61B"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Thesis tests.  </w:t>
      </w:r>
      <w:r w:rsidRPr="003F413C">
        <w:rPr>
          <w:rFonts w:ascii="Arial" w:hAnsi="Arial" w:cs="Arial"/>
          <w:i/>
          <w:color w:val="7A8492"/>
          <w:sz w:val="20"/>
        </w:rPr>
        <w:t>[State the findings that would invalidate the thesis or change the price or structure]</w:t>
      </w:r>
    </w:p>
    <w:p w14:paraId="4654A153"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Value creation.  </w:t>
      </w:r>
      <w:r w:rsidRPr="003F413C">
        <w:rPr>
          <w:rFonts w:ascii="Arial" w:hAnsi="Arial" w:cs="Arial"/>
          <w:i/>
          <w:color w:val="7A8492"/>
          <w:sz w:val="20"/>
        </w:rPr>
        <w:t>[Actions, accountable owners, cost, timing and measurable benefit]</w:t>
      </w:r>
    </w:p>
    <w:p w14:paraId="37BDCCFD" w14:textId="77777777" w:rsidR="001F22AA" w:rsidRPr="003F413C" w:rsidRDefault="00CE45FC">
      <w:pPr>
        <w:pStyle w:val="Heading2"/>
        <w:spacing w:before="220" w:after="60"/>
        <w:rPr>
          <w:rFonts w:ascii="Arial" w:hAnsi="Arial" w:cs="Arial"/>
        </w:rPr>
      </w:pPr>
      <w:bookmarkStart w:id="6" w:name="_Toc239590006"/>
      <w:r w:rsidRPr="003F413C">
        <w:rPr>
          <w:rFonts w:ascii="Arial" w:hAnsi="Arial" w:cs="Arial"/>
        </w:rPr>
        <w:t>5.  Market and competition</w:t>
      </w:r>
      <w:bookmarkEnd w:id="6"/>
    </w:p>
    <w:p w14:paraId="076DC59A"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Market definition.  </w:t>
      </w:r>
      <w:r w:rsidRPr="003F413C">
        <w:rPr>
          <w:rFonts w:ascii="Arial" w:hAnsi="Arial" w:cs="Arial"/>
          <w:i/>
          <w:color w:val="7A8492"/>
          <w:sz w:val="20"/>
        </w:rPr>
        <w:t>[Relevant customer, product, geography, demand and competitive boundaries]</w:t>
      </w:r>
    </w:p>
    <w:p w14:paraId="1942678F"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Evidence and limitations.  </w:t>
      </w:r>
      <w:r w:rsidRPr="003F413C">
        <w:rPr>
          <w:rFonts w:ascii="Arial" w:hAnsi="Arial" w:cs="Arial"/>
          <w:i/>
          <w:color w:val="7A8492"/>
          <w:sz w:val="20"/>
        </w:rPr>
        <w:t>[Primary sources, dates, comparables and limits of coverage]</w:t>
      </w:r>
    </w:p>
    <w:p w14:paraId="238B9EC9"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Competitive position.  </w:t>
      </w:r>
      <w:r w:rsidRPr="003F413C">
        <w:rPr>
          <w:rFonts w:ascii="Arial" w:hAnsi="Arial" w:cs="Arial"/>
          <w:i/>
          <w:color w:val="7A8492"/>
          <w:sz w:val="20"/>
        </w:rPr>
        <w:t>[Pricing, substitution, customer concentration, barriers and downside assumptions]</w:t>
      </w:r>
    </w:p>
    <w:p w14:paraId="3E574396" w14:textId="77777777" w:rsidR="001F22AA" w:rsidRPr="003F413C" w:rsidRDefault="00CE45FC">
      <w:pPr>
        <w:rPr>
          <w:rFonts w:ascii="Arial" w:hAnsi="Arial" w:cs="Arial"/>
        </w:rPr>
      </w:pPr>
      <w:r w:rsidRPr="003F413C">
        <w:rPr>
          <w:rFonts w:ascii="Arial" w:hAnsi="Arial" w:cs="Arial"/>
        </w:rPr>
        <w:br w:type="page"/>
      </w:r>
    </w:p>
    <w:p w14:paraId="34C89EAB" w14:textId="77777777" w:rsidR="001F22AA" w:rsidRPr="003F413C" w:rsidRDefault="00CE45FC" w:rsidP="003F413C">
      <w:pPr>
        <w:pStyle w:val="Heading1"/>
        <w:keepNext/>
        <w:spacing w:before="280" w:after="60"/>
        <w:jc w:val="center"/>
        <w:rPr>
          <w:rFonts w:ascii="Arial" w:hAnsi="Arial" w:cs="Arial"/>
        </w:rPr>
      </w:pPr>
      <w:bookmarkStart w:id="7" w:name="_Toc239590007"/>
      <w:r w:rsidRPr="003F413C">
        <w:rPr>
          <w:rFonts w:ascii="Arial" w:hAnsi="Arial" w:cs="Arial"/>
        </w:rPr>
        <w:lastRenderedPageBreak/>
        <w:t>Part C.  Underwriting and governance</w:t>
      </w:r>
      <w:bookmarkEnd w:id="7"/>
    </w:p>
    <w:p w14:paraId="0F7BE369" w14:textId="77777777" w:rsidR="001F22AA" w:rsidRPr="003F413C" w:rsidRDefault="00CE45FC">
      <w:pPr>
        <w:pStyle w:val="Heading2"/>
        <w:spacing w:before="220" w:after="60"/>
        <w:rPr>
          <w:rFonts w:ascii="Arial" w:hAnsi="Arial" w:cs="Arial"/>
        </w:rPr>
      </w:pPr>
      <w:bookmarkStart w:id="8" w:name="_Toc239590008"/>
      <w:r w:rsidRPr="003F413C">
        <w:rPr>
          <w:rFonts w:ascii="Arial" w:hAnsi="Arial" w:cs="Arial"/>
        </w:rPr>
        <w:t>6.  Business or asset underwriting</w:t>
      </w:r>
      <w:bookmarkEnd w:id="8"/>
    </w:p>
    <w:p w14:paraId="1ECFEC18"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Cash generation.  </w:t>
      </w:r>
      <w:r w:rsidRPr="003F413C">
        <w:rPr>
          <w:rFonts w:ascii="Arial" w:hAnsi="Arial" w:cs="Arial"/>
          <w:i/>
          <w:color w:val="7A8492"/>
          <w:sz w:val="20"/>
        </w:rPr>
        <w:t>[Revenue drivers, margins, collections, working capital and capital expenditure]</w:t>
      </w:r>
    </w:p>
    <w:p w14:paraId="29A109FF"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Historical reconciliation.  </w:t>
      </w:r>
      <w:r w:rsidRPr="003F413C">
        <w:rPr>
          <w:rFonts w:ascii="Arial" w:hAnsi="Arial" w:cs="Arial"/>
          <w:i/>
          <w:color w:val="7A8492"/>
          <w:sz w:val="20"/>
        </w:rPr>
        <w:t>[Reconcile accounts, operating records and cash evidence to the model]</w:t>
      </w:r>
    </w:p>
    <w:p w14:paraId="220934BC"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Forecast assumptions.  </w:t>
      </w:r>
      <w:r w:rsidRPr="003F413C">
        <w:rPr>
          <w:rFonts w:ascii="Arial" w:hAnsi="Arial" w:cs="Arial"/>
          <w:i/>
          <w:color w:val="7A8492"/>
          <w:sz w:val="20"/>
        </w:rPr>
        <w:t>[Separate verified inputs, management estimates and adviser analysis]</w:t>
      </w:r>
    </w:p>
    <w:tbl>
      <w:tblPr>
        <w:tblW w:w="0" w:type="auto"/>
        <w:tblBorders>
          <w:top w:val="single" w:sz="4" w:space="0" w:color="C7CED9"/>
          <w:left w:val="single" w:sz="4" w:space="0" w:color="C7CED9"/>
          <w:bottom w:val="single" w:sz="4" w:space="0" w:color="C7CED9"/>
          <w:right w:val="single" w:sz="4" w:space="0" w:color="C7CED9"/>
          <w:insideH w:val="single" w:sz="4" w:space="0" w:color="C7CED9"/>
          <w:insideV w:val="single" w:sz="4" w:space="0" w:color="C7CED9"/>
        </w:tblBorders>
        <w:tblLayout w:type="fixed"/>
        <w:tblLook w:val="04A0" w:firstRow="1" w:lastRow="0" w:firstColumn="1" w:lastColumn="0" w:noHBand="0" w:noVBand="1"/>
      </w:tblPr>
      <w:tblGrid>
        <w:gridCol w:w="2497"/>
        <w:gridCol w:w="2497"/>
        <w:gridCol w:w="2497"/>
        <w:gridCol w:w="2497"/>
      </w:tblGrid>
      <w:tr w:rsidR="001F22AA" w:rsidRPr="003F413C" w14:paraId="372178D6" w14:textId="77777777">
        <w:tc>
          <w:tcPr>
            <w:tcW w:w="2497" w:type="dxa"/>
            <w:shd w:val="clear" w:color="auto" w:fill="0A1F44"/>
          </w:tcPr>
          <w:p w14:paraId="5638D382" w14:textId="77777777" w:rsidR="001F22AA" w:rsidRPr="003F413C" w:rsidRDefault="00CE45FC">
            <w:pPr>
              <w:spacing w:before="20" w:after="20"/>
              <w:rPr>
                <w:rFonts w:ascii="Arial" w:hAnsi="Arial" w:cs="Arial"/>
              </w:rPr>
            </w:pPr>
            <w:r w:rsidRPr="003F413C">
              <w:rPr>
                <w:rFonts w:ascii="Arial" w:hAnsi="Arial" w:cs="Arial"/>
                <w:b/>
                <w:color w:val="FFFFFF"/>
                <w:sz w:val="19"/>
              </w:rPr>
              <w:t>Material driver</w:t>
            </w:r>
          </w:p>
        </w:tc>
        <w:tc>
          <w:tcPr>
            <w:tcW w:w="2497" w:type="dxa"/>
            <w:shd w:val="clear" w:color="auto" w:fill="0A1F44"/>
          </w:tcPr>
          <w:p w14:paraId="5D16F971" w14:textId="77777777" w:rsidR="001F22AA" w:rsidRPr="003F413C" w:rsidRDefault="00CE45FC">
            <w:pPr>
              <w:spacing w:before="20" w:after="20"/>
              <w:rPr>
                <w:rFonts w:ascii="Arial" w:hAnsi="Arial" w:cs="Arial"/>
              </w:rPr>
            </w:pPr>
            <w:r w:rsidRPr="003F413C">
              <w:rPr>
                <w:rFonts w:ascii="Arial" w:hAnsi="Arial" w:cs="Arial"/>
                <w:b/>
                <w:color w:val="FFFFFF"/>
                <w:sz w:val="19"/>
              </w:rPr>
              <w:t>Base assumption</w:t>
            </w:r>
          </w:p>
        </w:tc>
        <w:tc>
          <w:tcPr>
            <w:tcW w:w="2497" w:type="dxa"/>
            <w:shd w:val="clear" w:color="auto" w:fill="0A1F44"/>
          </w:tcPr>
          <w:p w14:paraId="556C4E5F" w14:textId="77777777" w:rsidR="001F22AA" w:rsidRPr="003F413C" w:rsidRDefault="00CE45FC">
            <w:pPr>
              <w:spacing w:before="20" w:after="20"/>
              <w:rPr>
                <w:rFonts w:ascii="Arial" w:hAnsi="Arial" w:cs="Arial"/>
              </w:rPr>
            </w:pPr>
            <w:r w:rsidRPr="003F413C">
              <w:rPr>
                <w:rFonts w:ascii="Arial" w:hAnsi="Arial" w:cs="Arial"/>
                <w:b/>
                <w:color w:val="FFFFFF"/>
                <w:sz w:val="19"/>
              </w:rPr>
              <w:t>Evidence and date</w:t>
            </w:r>
          </w:p>
        </w:tc>
        <w:tc>
          <w:tcPr>
            <w:tcW w:w="2497" w:type="dxa"/>
            <w:shd w:val="clear" w:color="auto" w:fill="0A1F44"/>
          </w:tcPr>
          <w:p w14:paraId="3707890D" w14:textId="77777777" w:rsidR="001F22AA" w:rsidRPr="003F413C" w:rsidRDefault="00CE45FC">
            <w:pPr>
              <w:spacing w:before="20" w:after="20"/>
              <w:rPr>
                <w:rFonts w:ascii="Arial" w:hAnsi="Arial" w:cs="Arial"/>
              </w:rPr>
            </w:pPr>
            <w:r w:rsidRPr="003F413C">
              <w:rPr>
                <w:rFonts w:ascii="Arial" w:hAnsi="Arial" w:cs="Arial"/>
                <w:b/>
                <w:color w:val="FFFFFF"/>
                <w:sz w:val="19"/>
              </w:rPr>
              <w:t>Downside sensitivity</w:t>
            </w:r>
          </w:p>
        </w:tc>
      </w:tr>
      <w:tr w:rsidR="001F22AA" w:rsidRPr="003F413C" w14:paraId="3A633831" w14:textId="77777777">
        <w:tc>
          <w:tcPr>
            <w:tcW w:w="2497" w:type="dxa"/>
          </w:tcPr>
          <w:p w14:paraId="1A257DAA" w14:textId="77777777" w:rsidR="001F22AA" w:rsidRPr="003F413C" w:rsidRDefault="00CE45FC">
            <w:pPr>
              <w:spacing w:before="20" w:after="20"/>
              <w:rPr>
                <w:rFonts w:ascii="Arial" w:hAnsi="Arial" w:cs="Arial"/>
              </w:rPr>
            </w:pPr>
            <w:r w:rsidRPr="003F413C">
              <w:rPr>
                <w:rFonts w:ascii="Arial" w:hAnsi="Arial" w:cs="Arial"/>
                <w:b/>
                <w:i/>
                <w:color w:val="7A8492"/>
                <w:sz w:val="19"/>
              </w:rPr>
              <w:t>[Revenue or rent]</w:t>
            </w:r>
          </w:p>
        </w:tc>
        <w:tc>
          <w:tcPr>
            <w:tcW w:w="2497" w:type="dxa"/>
          </w:tcPr>
          <w:p w14:paraId="2B52A705"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1CDE3081" w14:textId="77777777" w:rsidR="001F22AA" w:rsidRPr="003F413C" w:rsidRDefault="00CE45FC">
            <w:pPr>
              <w:spacing w:before="20" w:after="20"/>
              <w:rPr>
                <w:rFonts w:ascii="Arial" w:hAnsi="Arial" w:cs="Arial"/>
              </w:rPr>
            </w:pPr>
            <w:r w:rsidRPr="003F413C">
              <w:rPr>
                <w:rFonts w:ascii="Arial" w:hAnsi="Arial" w:cs="Arial"/>
                <w:i/>
                <w:color w:val="7A8492"/>
                <w:sz w:val="19"/>
              </w:rPr>
              <w:t>[Source reference]</w:t>
            </w:r>
          </w:p>
        </w:tc>
        <w:tc>
          <w:tcPr>
            <w:tcW w:w="2497" w:type="dxa"/>
          </w:tcPr>
          <w:p w14:paraId="12F7757F"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2BE2F2E0" w14:textId="77777777">
        <w:tc>
          <w:tcPr>
            <w:tcW w:w="2497" w:type="dxa"/>
            <w:shd w:val="clear" w:color="auto" w:fill="EEF2F8"/>
          </w:tcPr>
          <w:p w14:paraId="0B6F8C57" w14:textId="77777777" w:rsidR="001F22AA" w:rsidRPr="003F413C" w:rsidRDefault="00CE45FC">
            <w:pPr>
              <w:spacing w:before="20" w:after="20"/>
              <w:rPr>
                <w:rFonts w:ascii="Arial" w:hAnsi="Arial" w:cs="Arial"/>
              </w:rPr>
            </w:pPr>
            <w:r w:rsidRPr="003F413C">
              <w:rPr>
                <w:rFonts w:ascii="Arial" w:hAnsi="Arial" w:cs="Arial"/>
                <w:b/>
                <w:i/>
                <w:color w:val="7A8492"/>
                <w:sz w:val="19"/>
              </w:rPr>
              <w:t>[Margin or occupancy]</w:t>
            </w:r>
          </w:p>
        </w:tc>
        <w:tc>
          <w:tcPr>
            <w:tcW w:w="2497" w:type="dxa"/>
            <w:shd w:val="clear" w:color="auto" w:fill="EEF2F8"/>
          </w:tcPr>
          <w:p w14:paraId="5167A598"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104896B5" w14:textId="77777777" w:rsidR="001F22AA" w:rsidRPr="003F413C" w:rsidRDefault="00CE45FC">
            <w:pPr>
              <w:spacing w:before="20" w:after="20"/>
              <w:rPr>
                <w:rFonts w:ascii="Arial" w:hAnsi="Arial" w:cs="Arial"/>
              </w:rPr>
            </w:pPr>
            <w:r w:rsidRPr="003F413C">
              <w:rPr>
                <w:rFonts w:ascii="Arial" w:hAnsi="Arial" w:cs="Arial"/>
                <w:i/>
                <w:color w:val="7A8492"/>
                <w:sz w:val="19"/>
              </w:rPr>
              <w:t>[Source reference]</w:t>
            </w:r>
          </w:p>
        </w:tc>
        <w:tc>
          <w:tcPr>
            <w:tcW w:w="2497" w:type="dxa"/>
            <w:shd w:val="clear" w:color="auto" w:fill="EEF2F8"/>
          </w:tcPr>
          <w:p w14:paraId="4BCA531A"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3142AADF" w14:textId="77777777">
        <w:tc>
          <w:tcPr>
            <w:tcW w:w="2497" w:type="dxa"/>
          </w:tcPr>
          <w:p w14:paraId="3C8C3A77" w14:textId="77777777" w:rsidR="001F22AA" w:rsidRPr="003F413C" w:rsidRDefault="00CE45FC">
            <w:pPr>
              <w:spacing w:before="20" w:after="20"/>
              <w:rPr>
                <w:rFonts w:ascii="Arial" w:hAnsi="Arial" w:cs="Arial"/>
              </w:rPr>
            </w:pPr>
            <w:r w:rsidRPr="003F413C">
              <w:rPr>
                <w:rFonts w:ascii="Arial" w:hAnsi="Arial" w:cs="Arial"/>
                <w:b/>
                <w:i/>
                <w:color w:val="7A8492"/>
                <w:sz w:val="19"/>
              </w:rPr>
              <w:t>[Capex or working capital]</w:t>
            </w:r>
          </w:p>
        </w:tc>
        <w:tc>
          <w:tcPr>
            <w:tcW w:w="2497" w:type="dxa"/>
          </w:tcPr>
          <w:p w14:paraId="6AABBED2"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59C46517" w14:textId="77777777" w:rsidR="001F22AA" w:rsidRPr="003F413C" w:rsidRDefault="00CE45FC">
            <w:pPr>
              <w:spacing w:before="20" w:after="20"/>
              <w:rPr>
                <w:rFonts w:ascii="Arial" w:hAnsi="Arial" w:cs="Arial"/>
              </w:rPr>
            </w:pPr>
            <w:r w:rsidRPr="003F413C">
              <w:rPr>
                <w:rFonts w:ascii="Arial" w:hAnsi="Arial" w:cs="Arial"/>
                <w:i/>
                <w:color w:val="7A8492"/>
                <w:sz w:val="19"/>
              </w:rPr>
              <w:t>[Source reference]</w:t>
            </w:r>
          </w:p>
        </w:tc>
        <w:tc>
          <w:tcPr>
            <w:tcW w:w="2497" w:type="dxa"/>
          </w:tcPr>
          <w:p w14:paraId="5E670549"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bl>
    <w:p w14:paraId="65A1EF52" w14:textId="77777777" w:rsidR="001F22AA" w:rsidRPr="003F413C" w:rsidRDefault="001F22AA">
      <w:pPr>
        <w:spacing w:after="40"/>
        <w:rPr>
          <w:rFonts w:ascii="Arial" w:hAnsi="Arial" w:cs="Arial"/>
        </w:rPr>
      </w:pPr>
    </w:p>
    <w:p w14:paraId="1067137B" w14:textId="77777777" w:rsidR="001F22AA" w:rsidRPr="003F413C" w:rsidRDefault="00CE45FC">
      <w:pPr>
        <w:spacing w:after="80" w:line="264" w:lineRule="auto"/>
        <w:jc w:val="both"/>
        <w:rPr>
          <w:rFonts w:ascii="Arial" w:hAnsi="Arial" w:cs="Arial"/>
        </w:rPr>
      </w:pPr>
      <w:r w:rsidRPr="003F413C">
        <w:rPr>
          <w:rFonts w:ascii="Arial" w:hAnsi="Arial" w:cs="Arial"/>
          <w:i/>
          <w:color w:val="5B6470"/>
          <w:sz w:val="19"/>
        </w:rPr>
        <w:t>For property investments, include the rent roll, physical and economic occupancy, collections, lease expiries, recurring costs, capital expenditure and property-level debt service. Reconcile these to the same asset perimeter and model version.</w:t>
      </w:r>
    </w:p>
    <w:p w14:paraId="5D62FE5E" w14:textId="77777777" w:rsidR="001F22AA" w:rsidRPr="003F413C" w:rsidRDefault="00CE45FC">
      <w:pPr>
        <w:pStyle w:val="Heading2"/>
        <w:spacing w:before="220" w:after="60"/>
        <w:rPr>
          <w:rFonts w:ascii="Arial" w:hAnsi="Arial" w:cs="Arial"/>
        </w:rPr>
      </w:pPr>
      <w:bookmarkStart w:id="9" w:name="_Toc239590009"/>
      <w:r w:rsidRPr="003F413C">
        <w:rPr>
          <w:rFonts w:ascii="Arial" w:hAnsi="Arial" w:cs="Arial"/>
        </w:rPr>
        <w:t>7.  Management and governance</w:t>
      </w:r>
      <w:bookmarkEnd w:id="9"/>
    </w:p>
    <w:p w14:paraId="39C54E31"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Execution responsibility.  </w:t>
      </w:r>
      <w:r w:rsidRPr="003F413C">
        <w:rPr>
          <w:rFonts w:ascii="Arial" w:hAnsi="Arial" w:cs="Arial"/>
          <w:i/>
          <w:color w:val="7A8492"/>
          <w:sz w:val="20"/>
        </w:rPr>
        <w:t>[Management capabilities, key-person dependencies and delivery owners]</w:t>
      </w:r>
    </w:p>
    <w:p w14:paraId="615572CF"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Oversight and protections.  </w:t>
      </w:r>
      <w:r w:rsidRPr="003F413C">
        <w:rPr>
          <w:rFonts w:ascii="Arial" w:hAnsi="Arial" w:cs="Arial"/>
          <w:i/>
          <w:color w:val="7A8492"/>
          <w:sz w:val="20"/>
        </w:rPr>
        <w:t>[Board representation, reserved matters, reporting and information rights]</w:t>
      </w:r>
    </w:p>
    <w:p w14:paraId="26225434"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Alignment and conflicts.  </w:t>
      </w:r>
      <w:r w:rsidRPr="003F413C">
        <w:rPr>
          <w:rFonts w:ascii="Arial" w:hAnsi="Arial" w:cs="Arial"/>
          <w:i/>
          <w:color w:val="7A8492"/>
          <w:sz w:val="20"/>
        </w:rPr>
        <w:t>[Ownership, incentives, related-party matters and conflicts requiring disclosure]</w:t>
      </w:r>
    </w:p>
    <w:p w14:paraId="0E05230A"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Post-investment plan.  </w:t>
      </w:r>
      <w:r w:rsidRPr="003F413C">
        <w:rPr>
          <w:rFonts w:ascii="Arial" w:hAnsi="Arial" w:cs="Arial"/>
          <w:i/>
          <w:color w:val="7A8492"/>
          <w:sz w:val="20"/>
        </w:rPr>
        <w:t>[Operating priorities, reporting cadence and escalation responsibilities]</w:t>
      </w:r>
    </w:p>
    <w:p w14:paraId="761DE96E" w14:textId="77777777" w:rsidR="001F22AA" w:rsidRPr="003F413C" w:rsidRDefault="00CE45FC">
      <w:pPr>
        <w:rPr>
          <w:rFonts w:ascii="Arial" w:hAnsi="Arial" w:cs="Arial"/>
        </w:rPr>
      </w:pPr>
      <w:r w:rsidRPr="003F413C">
        <w:rPr>
          <w:rFonts w:ascii="Arial" w:hAnsi="Arial" w:cs="Arial"/>
        </w:rPr>
        <w:br w:type="page"/>
      </w:r>
    </w:p>
    <w:p w14:paraId="74912701" w14:textId="77777777" w:rsidR="001F22AA" w:rsidRPr="003F413C" w:rsidRDefault="00CE45FC" w:rsidP="003F413C">
      <w:pPr>
        <w:pStyle w:val="Heading1"/>
        <w:keepNext/>
        <w:spacing w:before="280" w:after="60"/>
        <w:jc w:val="center"/>
        <w:rPr>
          <w:rFonts w:ascii="Arial" w:hAnsi="Arial" w:cs="Arial"/>
        </w:rPr>
      </w:pPr>
      <w:bookmarkStart w:id="10" w:name="_Toc239590010"/>
      <w:r w:rsidRPr="003F413C">
        <w:rPr>
          <w:rFonts w:ascii="Arial" w:hAnsi="Arial" w:cs="Arial"/>
        </w:rPr>
        <w:lastRenderedPageBreak/>
        <w:t>Part D.  Valuation, returns and financing</w:t>
      </w:r>
      <w:bookmarkEnd w:id="10"/>
    </w:p>
    <w:p w14:paraId="7F924FEA" w14:textId="77777777" w:rsidR="001F22AA" w:rsidRPr="003F413C" w:rsidRDefault="00CE45FC">
      <w:pPr>
        <w:pStyle w:val="Heading2"/>
        <w:spacing w:before="220" w:after="60"/>
        <w:rPr>
          <w:rFonts w:ascii="Arial" w:hAnsi="Arial" w:cs="Arial"/>
        </w:rPr>
      </w:pPr>
      <w:bookmarkStart w:id="11" w:name="_Toc239590011"/>
      <w:r w:rsidRPr="003F413C">
        <w:rPr>
          <w:rFonts w:ascii="Arial" w:hAnsi="Arial" w:cs="Arial"/>
        </w:rPr>
        <w:t>8.  Valuation and returns</w:t>
      </w:r>
      <w:bookmarkEnd w:id="11"/>
    </w:p>
    <w:p w14:paraId="2B10BC45"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Valuation basis.  </w:t>
      </w:r>
      <w:r w:rsidRPr="003F413C">
        <w:rPr>
          <w:rFonts w:ascii="Arial" w:hAnsi="Arial" w:cs="Arial"/>
          <w:i/>
          <w:color w:val="7A8492"/>
          <w:sz w:val="20"/>
        </w:rPr>
        <w:t>[Methods, valuation date, comparables, adjustments and supporting source references]</w:t>
      </w:r>
    </w:p>
    <w:p w14:paraId="3C136B13"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Value bridge.  </w:t>
      </w:r>
      <w:r w:rsidRPr="003F413C">
        <w:rPr>
          <w:rFonts w:ascii="Arial" w:hAnsi="Arial" w:cs="Arial"/>
          <w:i/>
          <w:color w:val="7A8492"/>
          <w:sz w:val="20"/>
        </w:rPr>
        <w:t>[Enterprise to equity value, net debt, cash, fees, dilution and transaction adjustments]</w:t>
      </w:r>
    </w:p>
    <w:p w14:paraId="4FFF80BB"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Model control.  </w:t>
      </w:r>
      <w:r w:rsidRPr="003F413C">
        <w:rPr>
          <w:rFonts w:ascii="Arial" w:hAnsi="Arial" w:cs="Arial"/>
          <w:i/>
          <w:color w:val="7A8492"/>
          <w:sz w:val="20"/>
        </w:rPr>
        <w:t>[File name, version, owner, review date and reconciliation status]</w:t>
      </w:r>
    </w:p>
    <w:tbl>
      <w:tblPr>
        <w:tblW w:w="0" w:type="auto"/>
        <w:tblBorders>
          <w:top w:val="single" w:sz="4" w:space="0" w:color="C7CED9"/>
          <w:left w:val="single" w:sz="4" w:space="0" w:color="C7CED9"/>
          <w:bottom w:val="single" w:sz="4" w:space="0" w:color="C7CED9"/>
          <w:right w:val="single" w:sz="4" w:space="0" w:color="C7CED9"/>
          <w:insideH w:val="single" w:sz="4" w:space="0" w:color="C7CED9"/>
          <w:insideV w:val="single" w:sz="4" w:space="0" w:color="C7CED9"/>
        </w:tblBorders>
        <w:tblLayout w:type="fixed"/>
        <w:tblLook w:val="04A0" w:firstRow="1" w:lastRow="0" w:firstColumn="1" w:lastColumn="0" w:noHBand="0" w:noVBand="1"/>
      </w:tblPr>
      <w:tblGrid>
        <w:gridCol w:w="2497"/>
        <w:gridCol w:w="2497"/>
        <w:gridCol w:w="2497"/>
        <w:gridCol w:w="2497"/>
      </w:tblGrid>
      <w:tr w:rsidR="001F22AA" w:rsidRPr="003F413C" w14:paraId="3676F603" w14:textId="77777777">
        <w:tc>
          <w:tcPr>
            <w:tcW w:w="2497" w:type="dxa"/>
            <w:shd w:val="clear" w:color="auto" w:fill="0A1F44"/>
          </w:tcPr>
          <w:p w14:paraId="17FA750E" w14:textId="77777777" w:rsidR="001F22AA" w:rsidRPr="003F413C" w:rsidRDefault="00CE45FC">
            <w:pPr>
              <w:spacing w:before="20" w:after="20"/>
              <w:rPr>
                <w:rFonts w:ascii="Arial" w:hAnsi="Arial" w:cs="Arial"/>
              </w:rPr>
            </w:pPr>
            <w:r w:rsidRPr="003F413C">
              <w:rPr>
                <w:rFonts w:ascii="Arial" w:hAnsi="Arial" w:cs="Arial"/>
                <w:b/>
                <w:color w:val="FFFFFF"/>
                <w:sz w:val="19"/>
              </w:rPr>
              <w:t>Metric</w:t>
            </w:r>
          </w:p>
        </w:tc>
        <w:tc>
          <w:tcPr>
            <w:tcW w:w="2497" w:type="dxa"/>
            <w:shd w:val="clear" w:color="auto" w:fill="0A1F44"/>
          </w:tcPr>
          <w:p w14:paraId="7E695BDF" w14:textId="77777777" w:rsidR="001F22AA" w:rsidRPr="003F413C" w:rsidRDefault="00CE45FC">
            <w:pPr>
              <w:spacing w:before="20" w:after="20"/>
              <w:rPr>
                <w:rFonts w:ascii="Arial" w:hAnsi="Arial" w:cs="Arial"/>
              </w:rPr>
            </w:pPr>
            <w:r w:rsidRPr="003F413C">
              <w:rPr>
                <w:rFonts w:ascii="Arial" w:hAnsi="Arial" w:cs="Arial"/>
                <w:b/>
                <w:color w:val="FFFFFF"/>
                <w:sz w:val="19"/>
              </w:rPr>
              <w:t>Base case</w:t>
            </w:r>
          </w:p>
        </w:tc>
        <w:tc>
          <w:tcPr>
            <w:tcW w:w="2497" w:type="dxa"/>
            <w:shd w:val="clear" w:color="auto" w:fill="0A1F44"/>
          </w:tcPr>
          <w:p w14:paraId="2AF66649" w14:textId="77777777" w:rsidR="001F22AA" w:rsidRPr="003F413C" w:rsidRDefault="00CE45FC">
            <w:pPr>
              <w:spacing w:before="20" w:after="20"/>
              <w:rPr>
                <w:rFonts w:ascii="Arial" w:hAnsi="Arial" w:cs="Arial"/>
              </w:rPr>
            </w:pPr>
            <w:r w:rsidRPr="003F413C">
              <w:rPr>
                <w:rFonts w:ascii="Arial" w:hAnsi="Arial" w:cs="Arial"/>
                <w:b/>
                <w:color w:val="FFFFFF"/>
                <w:sz w:val="19"/>
              </w:rPr>
              <w:t>Downside case</w:t>
            </w:r>
          </w:p>
        </w:tc>
        <w:tc>
          <w:tcPr>
            <w:tcW w:w="2497" w:type="dxa"/>
            <w:shd w:val="clear" w:color="auto" w:fill="0A1F44"/>
          </w:tcPr>
          <w:p w14:paraId="49BEC421" w14:textId="77777777" w:rsidR="001F22AA" w:rsidRPr="003F413C" w:rsidRDefault="00CE45FC">
            <w:pPr>
              <w:spacing w:before="20" w:after="20"/>
              <w:rPr>
                <w:rFonts w:ascii="Arial" w:hAnsi="Arial" w:cs="Arial"/>
              </w:rPr>
            </w:pPr>
            <w:r w:rsidRPr="003F413C">
              <w:rPr>
                <w:rFonts w:ascii="Arial" w:hAnsi="Arial" w:cs="Arial"/>
                <w:b/>
                <w:color w:val="FFFFFF"/>
                <w:sz w:val="19"/>
              </w:rPr>
              <w:t>Upside case</w:t>
            </w:r>
          </w:p>
        </w:tc>
      </w:tr>
      <w:tr w:rsidR="001F22AA" w:rsidRPr="003F413C" w14:paraId="572A3F87" w14:textId="77777777">
        <w:tc>
          <w:tcPr>
            <w:tcW w:w="2497" w:type="dxa"/>
          </w:tcPr>
          <w:p w14:paraId="0CC8AAA2" w14:textId="77777777" w:rsidR="001F22AA" w:rsidRPr="003F413C" w:rsidRDefault="00CE45FC">
            <w:pPr>
              <w:spacing w:before="20" w:after="20"/>
              <w:rPr>
                <w:rFonts w:ascii="Arial" w:hAnsi="Arial" w:cs="Arial"/>
              </w:rPr>
            </w:pPr>
            <w:r w:rsidRPr="003F413C">
              <w:rPr>
                <w:rFonts w:ascii="Arial" w:hAnsi="Arial" w:cs="Arial"/>
                <w:b/>
                <w:sz w:val="19"/>
              </w:rPr>
              <w:t>Capital committed and currency</w:t>
            </w:r>
          </w:p>
        </w:tc>
        <w:tc>
          <w:tcPr>
            <w:tcW w:w="2497" w:type="dxa"/>
          </w:tcPr>
          <w:p w14:paraId="0946BEA7"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7A0CD02D"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589B4170"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0AE1E8FD" w14:textId="77777777">
        <w:tc>
          <w:tcPr>
            <w:tcW w:w="2497" w:type="dxa"/>
            <w:shd w:val="clear" w:color="auto" w:fill="EEF2F8"/>
          </w:tcPr>
          <w:p w14:paraId="0AD3EFB8" w14:textId="77777777" w:rsidR="001F22AA" w:rsidRPr="003F413C" w:rsidRDefault="00CE45FC">
            <w:pPr>
              <w:spacing w:before="20" w:after="20"/>
              <w:rPr>
                <w:rFonts w:ascii="Arial" w:hAnsi="Arial" w:cs="Arial"/>
              </w:rPr>
            </w:pPr>
            <w:r w:rsidRPr="003F413C">
              <w:rPr>
                <w:rFonts w:ascii="Arial" w:hAnsi="Arial" w:cs="Arial"/>
                <w:b/>
                <w:sz w:val="19"/>
              </w:rPr>
              <w:t>Cash yield and period</w:t>
            </w:r>
          </w:p>
        </w:tc>
        <w:tc>
          <w:tcPr>
            <w:tcW w:w="2497" w:type="dxa"/>
            <w:shd w:val="clear" w:color="auto" w:fill="EEF2F8"/>
          </w:tcPr>
          <w:p w14:paraId="7FA018DE"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3BE6F13D"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25C17CEA"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706F5E13" w14:textId="77777777">
        <w:tc>
          <w:tcPr>
            <w:tcW w:w="2497" w:type="dxa"/>
          </w:tcPr>
          <w:p w14:paraId="17B3EC6F" w14:textId="77777777" w:rsidR="001F22AA" w:rsidRPr="003F413C" w:rsidRDefault="00CE45FC">
            <w:pPr>
              <w:spacing w:before="20" w:after="20"/>
              <w:rPr>
                <w:rFonts w:ascii="Arial" w:hAnsi="Arial" w:cs="Arial"/>
              </w:rPr>
            </w:pPr>
            <w:r w:rsidRPr="003F413C">
              <w:rPr>
                <w:rFonts w:ascii="Arial" w:hAnsi="Arial" w:cs="Arial"/>
                <w:b/>
                <w:sz w:val="19"/>
              </w:rPr>
              <w:t>IRR and equity multiple</w:t>
            </w:r>
          </w:p>
        </w:tc>
        <w:tc>
          <w:tcPr>
            <w:tcW w:w="2497" w:type="dxa"/>
          </w:tcPr>
          <w:p w14:paraId="6C820C7A"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5425A053"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428481AB"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19088CE7" w14:textId="77777777">
        <w:tc>
          <w:tcPr>
            <w:tcW w:w="2497" w:type="dxa"/>
            <w:shd w:val="clear" w:color="auto" w:fill="EEF2F8"/>
          </w:tcPr>
          <w:p w14:paraId="7B7900C0" w14:textId="77777777" w:rsidR="001F22AA" w:rsidRPr="003F413C" w:rsidRDefault="00CE45FC">
            <w:pPr>
              <w:spacing w:before="20" w:after="20"/>
              <w:rPr>
                <w:rFonts w:ascii="Arial" w:hAnsi="Arial" w:cs="Arial"/>
              </w:rPr>
            </w:pPr>
            <w:r w:rsidRPr="003F413C">
              <w:rPr>
                <w:rFonts w:ascii="Arial" w:hAnsi="Arial" w:cs="Arial"/>
                <w:b/>
                <w:sz w:val="19"/>
              </w:rPr>
              <w:t>Exit date and value basis</w:t>
            </w:r>
          </w:p>
        </w:tc>
        <w:tc>
          <w:tcPr>
            <w:tcW w:w="2497" w:type="dxa"/>
            <w:shd w:val="clear" w:color="auto" w:fill="EEF2F8"/>
          </w:tcPr>
          <w:p w14:paraId="6C1EBDB5"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7260C19C"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04F07D6E"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bl>
    <w:p w14:paraId="78122646" w14:textId="77777777" w:rsidR="001F22AA" w:rsidRPr="003F413C" w:rsidRDefault="001F22AA">
      <w:pPr>
        <w:spacing w:after="40"/>
        <w:rPr>
          <w:rFonts w:ascii="Arial" w:hAnsi="Arial" w:cs="Arial"/>
        </w:rPr>
      </w:pPr>
    </w:p>
    <w:p w14:paraId="6B5339A6" w14:textId="77777777" w:rsidR="001F22AA" w:rsidRPr="003F413C" w:rsidRDefault="00CE45FC">
      <w:pPr>
        <w:spacing w:after="80" w:line="264" w:lineRule="auto"/>
        <w:jc w:val="both"/>
        <w:rPr>
          <w:rFonts w:ascii="Arial" w:hAnsi="Arial" w:cs="Arial"/>
        </w:rPr>
      </w:pPr>
      <w:r w:rsidRPr="003F413C">
        <w:rPr>
          <w:rFonts w:ascii="Arial" w:hAnsi="Arial" w:cs="Arial"/>
          <w:i/>
          <w:color w:val="5B6470"/>
          <w:sz w:val="19"/>
        </w:rPr>
        <w:t>Define gross or net returns, fees, taxes, currency treatment, cash-flow timing and exit assumptions. Describe the source and rationale for each scenario; retain the calculation schedules with the committee pack.</w:t>
      </w:r>
    </w:p>
    <w:p w14:paraId="72D776A2" w14:textId="77777777" w:rsidR="001F22AA" w:rsidRPr="003F413C" w:rsidRDefault="00CE45FC">
      <w:pPr>
        <w:pStyle w:val="Heading2"/>
        <w:spacing w:before="220" w:after="60"/>
        <w:rPr>
          <w:rFonts w:ascii="Arial" w:hAnsi="Arial" w:cs="Arial"/>
        </w:rPr>
      </w:pPr>
      <w:bookmarkStart w:id="12" w:name="_Toc239590012"/>
      <w:r w:rsidRPr="003F413C">
        <w:rPr>
          <w:rFonts w:ascii="Arial" w:hAnsi="Arial" w:cs="Arial"/>
        </w:rPr>
        <w:t>9.  Financing and capital structure</w:t>
      </w:r>
      <w:bookmarkEnd w:id="12"/>
    </w:p>
    <w:p w14:paraId="4EEF2341"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Funding terms.  </w:t>
      </w:r>
      <w:r w:rsidRPr="003F413C">
        <w:rPr>
          <w:rFonts w:ascii="Arial" w:hAnsi="Arial" w:cs="Arial"/>
          <w:i/>
          <w:color w:val="7A8492"/>
          <w:sz w:val="20"/>
        </w:rPr>
        <w:t>[Debt and equity amounts, pricing, amortisation, maturity and committed availability]</w:t>
      </w:r>
    </w:p>
    <w:p w14:paraId="47285EF0"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Investor and lender protections.  </w:t>
      </w:r>
      <w:r w:rsidRPr="003F413C">
        <w:rPr>
          <w:rFonts w:ascii="Arial" w:hAnsi="Arial" w:cs="Arial"/>
          <w:i/>
          <w:color w:val="7A8492"/>
          <w:sz w:val="20"/>
        </w:rPr>
        <w:t>[Security, ranking, guarantees, covenants and cash controls]</w:t>
      </w:r>
    </w:p>
    <w:p w14:paraId="72CEED5C"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Headroom and refinancing.  </w:t>
      </w:r>
      <w:r w:rsidRPr="003F413C">
        <w:rPr>
          <w:rFonts w:ascii="Arial" w:hAnsi="Arial" w:cs="Arial"/>
          <w:i/>
          <w:color w:val="7A8492"/>
          <w:sz w:val="20"/>
        </w:rPr>
        <w:t>[Debt service, covenant headroom, liquidity and refinancing risks under downside assumptions]</w:t>
      </w:r>
    </w:p>
    <w:p w14:paraId="0774C9E7"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Structure comparison.  </w:t>
      </w:r>
      <w:r w:rsidRPr="003F413C">
        <w:rPr>
          <w:rFonts w:ascii="Arial" w:hAnsi="Arial" w:cs="Arial"/>
          <w:i/>
          <w:color w:val="7A8492"/>
          <w:sz w:val="20"/>
        </w:rPr>
        <w:t>[Alternatives considered and their effect on returns, control and downside exposure]</w:t>
      </w:r>
    </w:p>
    <w:p w14:paraId="2672508D" w14:textId="77777777" w:rsidR="001F22AA" w:rsidRPr="003F413C" w:rsidRDefault="00CE45FC">
      <w:pPr>
        <w:rPr>
          <w:rFonts w:ascii="Arial" w:hAnsi="Arial" w:cs="Arial"/>
        </w:rPr>
      </w:pPr>
      <w:r w:rsidRPr="003F413C">
        <w:rPr>
          <w:rFonts w:ascii="Arial" w:hAnsi="Arial" w:cs="Arial"/>
        </w:rPr>
        <w:br w:type="page"/>
      </w:r>
    </w:p>
    <w:p w14:paraId="0A88FC74" w14:textId="52CD4EC8" w:rsidR="001F22AA" w:rsidRPr="003F413C" w:rsidRDefault="00CE45FC" w:rsidP="003F413C">
      <w:pPr>
        <w:pStyle w:val="Heading1"/>
        <w:keepNext/>
        <w:spacing w:before="280" w:after="60"/>
        <w:jc w:val="center"/>
        <w:rPr>
          <w:rFonts w:ascii="Arial" w:hAnsi="Arial" w:cs="Arial"/>
        </w:rPr>
      </w:pPr>
      <w:bookmarkStart w:id="13" w:name="_Toc239590013"/>
      <w:r w:rsidRPr="003F413C">
        <w:rPr>
          <w:rFonts w:ascii="Arial" w:hAnsi="Arial" w:cs="Arial"/>
        </w:rPr>
        <w:lastRenderedPageBreak/>
        <w:t>Part E.  Diligence and risk assessment</w:t>
      </w:r>
      <w:bookmarkEnd w:id="13"/>
    </w:p>
    <w:p w14:paraId="4449AFB4" w14:textId="77777777" w:rsidR="001F22AA" w:rsidRPr="003F413C" w:rsidRDefault="00CE45FC">
      <w:pPr>
        <w:pStyle w:val="Heading2"/>
        <w:spacing w:before="220" w:after="60"/>
        <w:rPr>
          <w:rFonts w:ascii="Arial" w:hAnsi="Arial" w:cs="Arial"/>
        </w:rPr>
      </w:pPr>
      <w:bookmarkStart w:id="14" w:name="_Toc239590014"/>
      <w:r w:rsidRPr="003F413C">
        <w:rPr>
          <w:rFonts w:ascii="Arial" w:hAnsi="Arial" w:cs="Arial"/>
        </w:rPr>
        <w:t>10.  Diligence findings</w:t>
      </w:r>
      <w:bookmarkEnd w:id="14"/>
    </w:p>
    <w:p w14:paraId="59E663C1" w14:textId="77777777" w:rsidR="001F22AA" w:rsidRPr="003F413C" w:rsidRDefault="00CE45FC">
      <w:pPr>
        <w:spacing w:after="80" w:line="264" w:lineRule="auto"/>
        <w:jc w:val="both"/>
        <w:rPr>
          <w:rFonts w:ascii="Arial" w:hAnsi="Arial" w:cs="Arial"/>
        </w:rPr>
      </w:pPr>
      <w:r w:rsidRPr="003F413C">
        <w:rPr>
          <w:rFonts w:ascii="Arial" w:hAnsi="Arial" w:cs="Arial"/>
          <w:i/>
          <w:color w:val="5B6470"/>
          <w:sz w:val="19"/>
        </w:rPr>
        <w:t>Record the scope and limitations of each review. Link each material finding to its effect on valuation, structure, conditions or timing. Legal, tax, accounting and technical conclusions require confirmation within the relevant qualified adviser's scope.</w:t>
      </w:r>
    </w:p>
    <w:tbl>
      <w:tblPr>
        <w:tblW w:w="0" w:type="auto"/>
        <w:tblBorders>
          <w:top w:val="single" w:sz="4" w:space="0" w:color="C7CED9"/>
          <w:left w:val="single" w:sz="4" w:space="0" w:color="C7CED9"/>
          <w:bottom w:val="single" w:sz="4" w:space="0" w:color="C7CED9"/>
          <w:right w:val="single" w:sz="4" w:space="0" w:color="C7CED9"/>
          <w:insideH w:val="single" w:sz="4" w:space="0" w:color="C7CED9"/>
          <w:insideV w:val="single" w:sz="4" w:space="0" w:color="C7CED9"/>
        </w:tblBorders>
        <w:tblLayout w:type="fixed"/>
        <w:tblLook w:val="04A0" w:firstRow="1" w:lastRow="0" w:firstColumn="1" w:lastColumn="0" w:noHBand="0" w:noVBand="1"/>
      </w:tblPr>
      <w:tblGrid>
        <w:gridCol w:w="2497"/>
        <w:gridCol w:w="2497"/>
        <w:gridCol w:w="2497"/>
        <w:gridCol w:w="2497"/>
      </w:tblGrid>
      <w:tr w:rsidR="001F22AA" w:rsidRPr="003F413C" w14:paraId="6CA74DB6" w14:textId="77777777">
        <w:tc>
          <w:tcPr>
            <w:tcW w:w="2497" w:type="dxa"/>
            <w:shd w:val="clear" w:color="auto" w:fill="0A1F44"/>
          </w:tcPr>
          <w:p w14:paraId="768DDB5F" w14:textId="77777777" w:rsidR="001F22AA" w:rsidRPr="003F413C" w:rsidRDefault="00CE45FC">
            <w:pPr>
              <w:spacing w:before="20" w:after="20"/>
              <w:rPr>
                <w:rFonts w:ascii="Arial" w:hAnsi="Arial" w:cs="Arial"/>
              </w:rPr>
            </w:pPr>
            <w:r w:rsidRPr="003F413C">
              <w:rPr>
                <w:rFonts w:ascii="Arial" w:hAnsi="Arial" w:cs="Arial"/>
                <w:b/>
                <w:color w:val="FFFFFF"/>
                <w:sz w:val="19"/>
              </w:rPr>
              <w:t>Workstream</w:t>
            </w:r>
          </w:p>
        </w:tc>
        <w:tc>
          <w:tcPr>
            <w:tcW w:w="2497" w:type="dxa"/>
            <w:shd w:val="clear" w:color="auto" w:fill="0A1F44"/>
          </w:tcPr>
          <w:p w14:paraId="3B25B9CF" w14:textId="77777777" w:rsidR="001F22AA" w:rsidRPr="003F413C" w:rsidRDefault="00CE45FC">
            <w:pPr>
              <w:spacing w:before="20" w:after="20"/>
              <w:rPr>
                <w:rFonts w:ascii="Arial" w:hAnsi="Arial" w:cs="Arial"/>
              </w:rPr>
            </w:pPr>
            <w:r w:rsidRPr="003F413C">
              <w:rPr>
                <w:rFonts w:ascii="Arial" w:hAnsi="Arial" w:cs="Arial"/>
                <w:b/>
                <w:color w:val="FFFFFF"/>
                <w:sz w:val="19"/>
              </w:rPr>
              <w:t>Finding and evidence</w:t>
            </w:r>
          </w:p>
        </w:tc>
        <w:tc>
          <w:tcPr>
            <w:tcW w:w="2497" w:type="dxa"/>
            <w:shd w:val="clear" w:color="auto" w:fill="0A1F44"/>
          </w:tcPr>
          <w:p w14:paraId="3155FC10" w14:textId="77777777" w:rsidR="001F22AA" w:rsidRPr="003F413C" w:rsidRDefault="00CE45FC">
            <w:pPr>
              <w:spacing w:before="20" w:after="20"/>
              <w:rPr>
                <w:rFonts w:ascii="Arial" w:hAnsi="Arial" w:cs="Arial"/>
              </w:rPr>
            </w:pPr>
            <w:r w:rsidRPr="003F413C">
              <w:rPr>
                <w:rFonts w:ascii="Arial" w:hAnsi="Arial" w:cs="Arial"/>
                <w:b/>
                <w:color w:val="FFFFFF"/>
                <w:sz w:val="19"/>
              </w:rPr>
              <w:t>Status and owner</w:t>
            </w:r>
          </w:p>
        </w:tc>
        <w:tc>
          <w:tcPr>
            <w:tcW w:w="2497" w:type="dxa"/>
            <w:shd w:val="clear" w:color="auto" w:fill="0A1F44"/>
          </w:tcPr>
          <w:p w14:paraId="4AB3BEB0" w14:textId="77777777" w:rsidR="001F22AA" w:rsidRPr="003F413C" w:rsidRDefault="00CE45FC">
            <w:pPr>
              <w:spacing w:before="20" w:after="20"/>
              <w:rPr>
                <w:rFonts w:ascii="Arial" w:hAnsi="Arial" w:cs="Arial"/>
              </w:rPr>
            </w:pPr>
            <w:r w:rsidRPr="003F413C">
              <w:rPr>
                <w:rFonts w:ascii="Arial" w:hAnsi="Arial" w:cs="Arial"/>
                <w:b/>
                <w:color w:val="FFFFFF"/>
                <w:sz w:val="19"/>
              </w:rPr>
              <w:t>Decision implication</w:t>
            </w:r>
          </w:p>
        </w:tc>
      </w:tr>
      <w:tr w:rsidR="001F22AA" w:rsidRPr="003F413C" w14:paraId="4196C0D5" w14:textId="77777777">
        <w:tc>
          <w:tcPr>
            <w:tcW w:w="2497" w:type="dxa"/>
          </w:tcPr>
          <w:p w14:paraId="695D2EE8" w14:textId="77777777" w:rsidR="001F22AA" w:rsidRPr="003F413C" w:rsidRDefault="00CE45FC">
            <w:pPr>
              <w:spacing w:before="20" w:after="20"/>
              <w:rPr>
                <w:rFonts w:ascii="Arial" w:hAnsi="Arial" w:cs="Arial"/>
              </w:rPr>
            </w:pPr>
            <w:r w:rsidRPr="003F413C">
              <w:rPr>
                <w:rFonts w:ascii="Arial" w:hAnsi="Arial" w:cs="Arial"/>
                <w:b/>
                <w:i/>
                <w:color w:val="7A8492"/>
                <w:sz w:val="19"/>
              </w:rPr>
              <w:t>[Commercial]</w:t>
            </w:r>
          </w:p>
        </w:tc>
        <w:tc>
          <w:tcPr>
            <w:tcW w:w="2497" w:type="dxa"/>
          </w:tcPr>
          <w:p w14:paraId="36DD7AC9" w14:textId="77777777" w:rsidR="001F22AA" w:rsidRPr="003F413C" w:rsidRDefault="00CE45FC">
            <w:pPr>
              <w:spacing w:before="20" w:after="20"/>
              <w:rPr>
                <w:rFonts w:ascii="Arial" w:hAnsi="Arial" w:cs="Arial"/>
              </w:rPr>
            </w:pPr>
            <w:r w:rsidRPr="003F413C">
              <w:rPr>
                <w:rFonts w:ascii="Arial" w:hAnsi="Arial" w:cs="Arial"/>
                <w:i/>
                <w:color w:val="7A8492"/>
                <w:sz w:val="19"/>
              </w:rPr>
              <w:t>[Source and finding]</w:t>
            </w:r>
          </w:p>
        </w:tc>
        <w:tc>
          <w:tcPr>
            <w:tcW w:w="2497" w:type="dxa"/>
          </w:tcPr>
          <w:p w14:paraId="69BC3833"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74C4EBCB"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493D039A" w14:textId="77777777">
        <w:tc>
          <w:tcPr>
            <w:tcW w:w="2497" w:type="dxa"/>
            <w:shd w:val="clear" w:color="auto" w:fill="EEF2F8"/>
          </w:tcPr>
          <w:p w14:paraId="4F708F68" w14:textId="77777777" w:rsidR="001F22AA" w:rsidRPr="003F413C" w:rsidRDefault="00CE45FC">
            <w:pPr>
              <w:spacing w:before="20" w:after="20"/>
              <w:rPr>
                <w:rFonts w:ascii="Arial" w:hAnsi="Arial" w:cs="Arial"/>
              </w:rPr>
            </w:pPr>
            <w:r w:rsidRPr="003F413C">
              <w:rPr>
                <w:rFonts w:ascii="Arial" w:hAnsi="Arial" w:cs="Arial"/>
                <w:b/>
                <w:i/>
                <w:color w:val="7A8492"/>
                <w:sz w:val="19"/>
              </w:rPr>
              <w:t>[Financial]</w:t>
            </w:r>
          </w:p>
        </w:tc>
        <w:tc>
          <w:tcPr>
            <w:tcW w:w="2497" w:type="dxa"/>
            <w:shd w:val="clear" w:color="auto" w:fill="EEF2F8"/>
          </w:tcPr>
          <w:p w14:paraId="2C3A756E" w14:textId="77777777" w:rsidR="001F22AA" w:rsidRPr="003F413C" w:rsidRDefault="00CE45FC">
            <w:pPr>
              <w:spacing w:before="20" w:after="20"/>
              <w:rPr>
                <w:rFonts w:ascii="Arial" w:hAnsi="Arial" w:cs="Arial"/>
              </w:rPr>
            </w:pPr>
            <w:r w:rsidRPr="003F413C">
              <w:rPr>
                <w:rFonts w:ascii="Arial" w:hAnsi="Arial" w:cs="Arial"/>
                <w:i/>
                <w:color w:val="7A8492"/>
                <w:sz w:val="19"/>
              </w:rPr>
              <w:t>[Source and finding]</w:t>
            </w:r>
          </w:p>
        </w:tc>
        <w:tc>
          <w:tcPr>
            <w:tcW w:w="2497" w:type="dxa"/>
            <w:shd w:val="clear" w:color="auto" w:fill="EEF2F8"/>
          </w:tcPr>
          <w:p w14:paraId="59B7BEF9"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79263144"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75F6190B" w14:textId="77777777">
        <w:tc>
          <w:tcPr>
            <w:tcW w:w="2497" w:type="dxa"/>
          </w:tcPr>
          <w:p w14:paraId="44BFF533" w14:textId="77777777" w:rsidR="001F22AA" w:rsidRPr="003F413C" w:rsidRDefault="00CE45FC">
            <w:pPr>
              <w:spacing w:before="20" w:after="20"/>
              <w:rPr>
                <w:rFonts w:ascii="Arial" w:hAnsi="Arial" w:cs="Arial"/>
              </w:rPr>
            </w:pPr>
            <w:r w:rsidRPr="003F413C">
              <w:rPr>
                <w:rFonts w:ascii="Arial" w:hAnsi="Arial" w:cs="Arial"/>
                <w:b/>
                <w:i/>
                <w:color w:val="7A8492"/>
                <w:sz w:val="19"/>
              </w:rPr>
              <w:t>[Legal and tax]</w:t>
            </w:r>
          </w:p>
        </w:tc>
        <w:tc>
          <w:tcPr>
            <w:tcW w:w="2497" w:type="dxa"/>
          </w:tcPr>
          <w:p w14:paraId="132E7F98" w14:textId="77777777" w:rsidR="001F22AA" w:rsidRPr="003F413C" w:rsidRDefault="00CE45FC">
            <w:pPr>
              <w:spacing w:before="20" w:after="20"/>
              <w:rPr>
                <w:rFonts w:ascii="Arial" w:hAnsi="Arial" w:cs="Arial"/>
              </w:rPr>
            </w:pPr>
            <w:r w:rsidRPr="003F413C">
              <w:rPr>
                <w:rFonts w:ascii="Arial" w:hAnsi="Arial" w:cs="Arial"/>
                <w:i/>
                <w:color w:val="7A8492"/>
                <w:sz w:val="19"/>
              </w:rPr>
              <w:t>[Source and finding]</w:t>
            </w:r>
          </w:p>
        </w:tc>
        <w:tc>
          <w:tcPr>
            <w:tcW w:w="2497" w:type="dxa"/>
          </w:tcPr>
          <w:p w14:paraId="79E1AA6E"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61543159"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2163EA3C" w14:textId="77777777">
        <w:tc>
          <w:tcPr>
            <w:tcW w:w="2497" w:type="dxa"/>
            <w:shd w:val="clear" w:color="auto" w:fill="EEF2F8"/>
          </w:tcPr>
          <w:p w14:paraId="7D2BA28B" w14:textId="77777777" w:rsidR="001F22AA" w:rsidRPr="003F413C" w:rsidRDefault="00CE45FC">
            <w:pPr>
              <w:spacing w:before="20" w:after="20"/>
              <w:rPr>
                <w:rFonts w:ascii="Arial" w:hAnsi="Arial" w:cs="Arial"/>
              </w:rPr>
            </w:pPr>
            <w:r w:rsidRPr="003F413C">
              <w:rPr>
                <w:rFonts w:ascii="Arial" w:hAnsi="Arial" w:cs="Arial"/>
                <w:b/>
                <w:i/>
                <w:color w:val="7A8492"/>
                <w:sz w:val="19"/>
              </w:rPr>
              <w:t>[Operational or technical]</w:t>
            </w:r>
          </w:p>
        </w:tc>
        <w:tc>
          <w:tcPr>
            <w:tcW w:w="2497" w:type="dxa"/>
            <w:shd w:val="clear" w:color="auto" w:fill="EEF2F8"/>
          </w:tcPr>
          <w:p w14:paraId="0E07AFE7" w14:textId="77777777" w:rsidR="001F22AA" w:rsidRPr="003F413C" w:rsidRDefault="00CE45FC">
            <w:pPr>
              <w:spacing w:before="20" w:after="20"/>
              <w:rPr>
                <w:rFonts w:ascii="Arial" w:hAnsi="Arial" w:cs="Arial"/>
              </w:rPr>
            </w:pPr>
            <w:r w:rsidRPr="003F413C">
              <w:rPr>
                <w:rFonts w:ascii="Arial" w:hAnsi="Arial" w:cs="Arial"/>
                <w:i/>
                <w:color w:val="7A8492"/>
                <w:sz w:val="19"/>
              </w:rPr>
              <w:t>[Source and finding]</w:t>
            </w:r>
          </w:p>
        </w:tc>
        <w:tc>
          <w:tcPr>
            <w:tcW w:w="2497" w:type="dxa"/>
            <w:shd w:val="clear" w:color="auto" w:fill="EEF2F8"/>
          </w:tcPr>
          <w:p w14:paraId="57F3D8B4"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40CD5C8A"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bl>
    <w:p w14:paraId="111DB9F2" w14:textId="77777777" w:rsidR="001F22AA" w:rsidRPr="003F413C" w:rsidRDefault="001F22AA">
      <w:pPr>
        <w:spacing w:after="40"/>
        <w:rPr>
          <w:rFonts w:ascii="Arial" w:hAnsi="Arial" w:cs="Arial"/>
        </w:rPr>
      </w:pPr>
    </w:p>
    <w:p w14:paraId="3C732A98" w14:textId="77777777" w:rsidR="001F22AA" w:rsidRPr="003F413C" w:rsidRDefault="00CE45FC">
      <w:pPr>
        <w:pStyle w:val="Heading2"/>
        <w:spacing w:before="220" w:after="60"/>
        <w:rPr>
          <w:rFonts w:ascii="Arial" w:hAnsi="Arial" w:cs="Arial"/>
        </w:rPr>
      </w:pPr>
      <w:bookmarkStart w:id="15" w:name="_Toc239590015"/>
      <w:r w:rsidRPr="003F413C">
        <w:rPr>
          <w:rFonts w:ascii="Arial" w:hAnsi="Arial" w:cs="Arial"/>
        </w:rPr>
        <w:t>11.  Risks and mitigants</w:t>
      </w:r>
      <w:bookmarkEnd w:id="15"/>
    </w:p>
    <w:tbl>
      <w:tblPr>
        <w:tblW w:w="0" w:type="auto"/>
        <w:tblBorders>
          <w:top w:val="single" w:sz="4" w:space="0" w:color="C7CED9"/>
          <w:left w:val="single" w:sz="4" w:space="0" w:color="C7CED9"/>
          <w:bottom w:val="single" w:sz="4" w:space="0" w:color="C7CED9"/>
          <w:right w:val="single" w:sz="4" w:space="0" w:color="C7CED9"/>
          <w:insideH w:val="single" w:sz="4" w:space="0" w:color="C7CED9"/>
          <w:insideV w:val="single" w:sz="4" w:space="0" w:color="C7CED9"/>
        </w:tblBorders>
        <w:tblLayout w:type="fixed"/>
        <w:tblLook w:val="04A0" w:firstRow="1" w:lastRow="0" w:firstColumn="1" w:lastColumn="0" w:noHBand="0" w:noVBand="1"/>
      </w:tblPr>
      <w:tblGrid>
        <w:gridCol w:w="2497"/>
        <w:gridCol w:w="2497"/>
        <w:gridCol w:w="2497"/>
        <w:gridCol w:w="2497"/>
      </w:tblGrid>
      <w:tr w:rsidR="001F22AA" w:rsidRPr="003F413C" w14:paraId="2EF737E8" w14:textId="77777777">
        <w:tc>
          <w:tcPr>
            <w:tcW w:w="2497" w:type="dxa"/>
            <w:shd w:val="clear" w:color="auto" w:fill="0A1F44"/>
          </w:tcPr>
          <w:p w14:paraId="2935CD1B" w14:textId="77777777" w:rsidR="001F22AA" w:rsidRPr="003F413C" w:rsidRDefault="00CE45FC">
            <w:pPr>
              <w:spacing w:before="20" w:after="20"/>
              <w:rPr>
                <w:rFonts w:ascii="Arial" w:hAnsi="Arial" w:cs="Arial"/>
              </w:rPr>
            </w:pPr>
            <w:r w:rsidRPr="003F413C">
              <w:rPr>
                <w:rFonts w:ascii="Arial" w:hAnsi="Arial" w:cs="Arial"/>
                <w:b/>
                <w:color w:val="FFFFFF"/>
                <w:sz w:val="19"/>
              </w:rPr>
              <w:t>Risk and evidence</w:t>
            </w:r>
          </w:p>
        </w:tc>
        <w:tc>
          <w:tcPr>
            <w:tcW w:w="2497" w:type="dxa"/>
            <w:shd w:val="clear" w:color="auto" w:fill="0A1F44"/>
          </w:tcPr>
          <w:p w14:paraId="100A4E04" w14:textId="77777777" w:rsidR="001F22AA" w:rsidRPr="003F413C" w:rsidRDefault="00CE45FC">
            <w:pPr>
              <w:spacing w:before="20" w:after="20"/>
              <w:rPr>
                <w:rFonts w:ascii="Arial" w:hAnsi="Arial" w:cs="Arial"/>
              </w:rPr>
            </w:pPr>
            <w:r w:rsidRPr="003F413C">
              <w:rPr>
                <w:rFonts w:ascii="Arial" w:hAnsi="Arial" w:cs="Arial"/>
                <w:b/>
                <w:color w:val="FFFFFF"/>
                <w:sz w:val="19"/>
              </w:rPr>
              <w:t>Likelihood and impact</w:t>
            </w:r>
          </w:p>
        </w:tc>
        <w:tc>
          <w:tcPr>
            <w:tcW w:w="2497" w:type="dxa"/>
            <w:shd w:val="clear" w:color="auto" w:fill="0A1F44"/>
          </w:tcPr>
          <w:p w14:paraId="765FB4AF" w14:textId="77777777" w:rsidR="001F22AA" w:rsidRPr="003F413C" w:rsidRDefault="00CE45FC">
            <w:pPr>
              <w:spacing w:before="20" w:after="20"/>
              <w:rPr>
                <w:rFonts w:ascii="Arial" w:hAnsi="Arial" w:cs="Arial"/>
              </w:rPr>
            </w:pPr>
            <w:r w:rsidRPr="003F413C">
              <w:rPr>
                <w:rFonts w:ascii="Arial" w:hAnsi="Arial" w:cs="Arial"/>
                <w:b/>
                <w:color w:val="FFFFFF"/>
                <w:sz w:val="19"/>
              </w:rPr>
              <w:t>Mitigant and owner</w:t>
            </w:r>
          </w:p>
        </w:tc>
        <w:tc>
          <w:tcPr>
            <w:tcW w:w="2497" w:type="dxa"/>
            <w:shd w:val="clear" w:color="auto" w:fill="0A1F44"/>
          </w:tcPr>
          <w:p w14:paraId="50A3977B" w14:textId="77777777" w:rsidR="001F22AA" w:rsidRPr="003F413C" w:rsidRDefault="00CE45FC">
            <w:pPr>
              <w:spacing w:before="20" w:after="20"/>
              <w:rPr>
                <w:rFonts w:ascii="Arial" w:hAnsi="Arial" w:cs="Arial"/>
              </w:rPr>
            </w:pPr>
            <w:r w:rsidRPr="003F413C">
              <w:rPr>
                <w:rFonts w:ascii="Arial" w:hAnsi="Arial" w:cs="Arial"/>
                <w:b/>
                <w:color w:val="FFFFFF"/>
                <w:sz w:val="19"/>
              </w:rPr>
              <w:t>Residual exposure</w:t>
            </w:r>
          </w:p>
        </w:tc>
      </w:tr>
      <w:tr w:rsidR="001F22AA" w:rsidRPr="003F413C" w14:paraId="6DF9569C" w14:textId="77777777">
        <w:tc>
          <w:tcPr>
            <w:tcW w:w="2497" w:type="dxa"/>
          </w:tcPr>
          <w:p w14:paraId="5D287A2C" w14:textId="77777777" w:rsidR="001F22AA" w:rsidRPr="003F413C" w:rsidRDefault="00CE45FC">
            <w:pPr>
              <w:spacing w:before="20" w:after="20"/>
              <w:rPr>
                <w:rFonts w:ascii="Arial" w:hAnsi="Arial" w:cs="Arial"/>
              </w:rPr>
            </w:pPr>
            <w:r w:rsidRPr="003F413C">
              <w:rPr>
                <w:rFonts w:ascii="Arial" w:hAnsi="Arial" w:cs="Arial"/>
                <w:b/>
                <w:i/>
                <w:color w:val="7A8492"/>
                <w:sz w:val="19"/>
              </w:rPr>
              <w:t>[Risk 1]</w:t>
            </w:r>
          </w:p>
        </w:tc>
        <w:tc>
          <w:tcPr>
            <w:tcW w:w="2497" w:type="dxa"/>
          </w:tcPr>
          <w:p w14:paraId="74E3E158" w14:textId="77777777" w:rsidR="001F22AA" w:rsidRPr="003F413C" w:rsidRDefault="00CE45FC">
            <w:pPr>
              <w:spacing w:before="20" w:after="20"/>
              <w:rPr>
                <w:rFonts w:ascii="Arial" w:hAnsi="Arial" w:cs="Arial"/>
              </w:rPr>
            </w:pPr>
            <w:r w:rsidRPr="003F413C">
              <w:rPr>
                <w:rFonts w:ascii="Arial" w:hAnsi="Arial" w:cs="Arial"/>
                <w:i/>
                <w:color w:val="7A8492"/>
                <w:sz w:val="19"/>
              </w:rPr>
              <w:t>[Assessment and basis]</w:t>
            </w:r>
          </w:p>
        </w:tc>
        <w:tc>
          <w:tcPr>
            <w:tcW w:w="2497" w:type="dxa"/>
          </w:tcPr>
          <w:p w14:paraId="6548D45E" w14:textId="77777777" w:rsidR="001F22AA" w:rsidRPr="003F413C" w:rsidRDefault="00CE45FC">
            <w:pPr>
              <w:spacing w:before="20" w:after="20"/>
              <w:rPr>
                <w:rFonts w:ascii="Arial" w:hAnsi="Arial" w:cs="Arial"/>
              </w:rPr>
            </w:pPr>
            <w:r w:rsidRPr="003F413C">
              <w:rPr>
                <w:rFonts w:ascii="Arial" w:hAnsi="Arial" w:cs="Arial"/>
                <w:i/>
                <w:color w:val="7A8492"/>
                <w:sz w:val="19"/>
              </w:rPr>
              <w:t>[Action and owner]</w:t>
            </w:r>
          </w:p>
        </w:tc>
        <w:tc>
          <w:tcPr>
            <w:tcW w:w="2497" w:type="dxa"/>
          </w:tcPr>
          <w:p w14:paraId="36080D77" w14:textId="77777777" w:rsidR="001F22AA" w:rsidRPr="003F413C" w:rsidRDefault="00CE45FC">
            <w:pPr>
              <w:spacing w:before="20" w:after="20"/>
              <w:rPr>
                <w:rFonts w:ascii="Arial" w:hAnsi="Arial" w:cs="Arial"/>
              </w:rPr>
            </w:pPr>
            <w:r w:rsidRPr="003F413C">
              <w:rPr>
                <w:rFonts w:ascii="Arial" w:hAnsi="Arial" w:cs="Arial"/>
                <w:i/>
                <w:color w:val="7A8492"/>
                <w:sz w:val="19"/>
              </w:rPr>
              <w:t>[Exposure after action]</w:t>
            </w:r>
          </w:p>
        </w:tc>
      </w:tr>
      <w:tr w:rsidR="001F22AA" w:rsidRPr="003F413C" w14:paraId="4223F0BF" w14:textId="77777777">
        <w:tc>
          <w:tcPr>
            <w:tcW w:w="2497" w:type="dxa"/>
            <w:shd w:val="clear" w:color="auto" w:fill="EEF2F8"/>
          </w:tcPr>
          <w:p w14:paraId="117C8A59" w14:textId="77777777" w:rsidR="001F22AA" w:rsidRPr="003F413C" w:rsidRDefault="00CE45FC">
            <w:pPr>
              <w:spacing w:before="20" w:after="20"/>
              <w:rPr>
                <w:rFonts w:ascii="Arial" w:hAnsi="Arial" w:cs="Arial"/>
              </w:rPr>
            </w:pPr>
            <w:r w:rsidRPr="003F413C">
              <w:rPr>
                <w:rFonts w:ascii="Arial" w:hAnsi="Arial" w:cs="Arial"/>
                <w:b/>
                <w:i/>
                <w:color w:val="7A8492"/>
                <w:sz w:val="19"/>
              </w:rPr>
              <w:t>[Risk 2]</w:t>
            </w:r>
          </w:p>
        </w:tc>
        <w:tc>
          <w:tcPr>
            <w:tcW w:w="2497" w:type="dxa"/>
            <w:shd w:val="clear" w:color="auto" w:fill="EEF2F8"/>
          </w:tcPr>
          <w:p w14:paraId="71D42C8E" w14:textId="77777777" w:rsidR="001F22AA" w:rsidRPr="003F413C" w:rsidRDefault="00CE45FC">
            <w:pPr>
              <w:spacing w:before="20" w:after="20"/>
              <w:rPr>
                <w:rFonts w:ascii="Arial" w:hAnsi="Arial" w:cs="Arial"/>
              </w:rPr>
            </w:pPr>
            <w:r w:rsidRPr="003F413C">
              <w:rPr>
                <w:rFonts w:ascii="Arial" w:hAnsi="Arial" w:cs="Arial"/>
                <w:i/>
                <w:color w:val="7A8492"/>
                <w:sz w:val="19"/>
              </w:rPr>
              <w:t>[Assessment and basis]</w:t>
            </w:r>
          </w:p>
        </w:tc>
        <w:tc>
          <w:tcPr>
            <w:tcW w:w="2497" w:type="dxa"/>
            <w:shd w:val="clear" w:color="auto" w:fill="EEF2F8"/>
          </w:tcPr>
          <w:p w14:paraId="73BE3493" w14:textId="77777777" w:rsidR="001F22AA" w:rsidRPr="003F413C" w:rsidRDefault="00CE45FC">
            <w:pPr>
              <w:spacing w:before="20" w:after="20"/>
              <w:rPr>
                <w:rFonts w:ascii="Arial" w:hAnsi="Arial" w:cs="Arial"/>
              </w:rPr>
            </w:pPr>
            <w:r w:rsidRPr="003F413C">
              <w:rPr>
                <w:rFonts w:ascii="Arial" w:hAnsi="Arial" w:cs="Arial"/>
                <w:i/>
                <w:color w:val="7A8492"/>
                <w:sz w:val="19"/>
              </w:rPr>
              <w:t>[Action and owner]</w:t>
            </w:r>
          </w:p>
        </w:tc>
        <w:tc>
          <w:tcPr>
            <w:tcW w:w="2497" w:type="dxa"/>
            <w:shd w:val="clear" w:color="auto" w:fill="EEF2F8"/>
          </w:tcPr>
          <w:p w14:paraId="62F3E84E" w14:textId="77777777" w:rsidR="001F22AA" w:rsidRPr="003F413C" w:rsidRDefault="00CE45FC">
            <w:pPr>
              <w:spacing w:before="20" w:after="20"/>
              <w:rPr>
                <w:rFonts w:ascii="Arial" w:hAnsi="Arial" w:cs="Arial"/>
              </w:rPr>
            </w:pPr>
            <w:r w:rsidRPr="003F413C">
              <w:rPr>
                <w:rFonts w:ascii="Arial" w:hAnsi="Arial" w:cs="Arial"/>
                <w:i/>
                <w:color w:val="7A8492"/>
                <w:sz w:val="19"/>
              </w:rPr>
              <w:t>[Exposure after action]</w:t>
            </w:r>
          </w:p>
        </w:tc>
      </w:tr>
      <w:tr w:rsidR="001F22AA" w:rsidRPr="003F413C" w14:paraId="7FB5A061" w14:textId="77777777">
        <w:tc>
          <w:tcPr>
            <w:tcW w:w="2497" w:type="dxa"/>
          </w:tcPr>
          <w:p w14:paraId="77D7A540" w14:textId="77777777" w:rsidR="001F22AA" w:rsidRPr="003F413C" w:rsidRDefault="00CE45FC">
            <w:pPr>
              <w:spacing w:before="20" w:after="20"/>
              <w:rPr>
                <w:rFonts w:ascii="Arial" w:hAnsi="Arial" w:cs="Arial"/>
              </w:rPr>
            </w:pPr>
            <w:r w:rsidRPr="003F413C">
              <w:rPr>
                <w:rFonts w:ascii="Arial" w:hAnsi="Arial" w:cs="Arial"/>
                <w:b/>
                <w:i/>
                <w:color w:val="7A8492"/>
                <w:sz w:val="19"/>
              </w:rPr>
              <w:t>[Risk 3]</w:t>
            </w:r>
          </w:p>
        </w:tc>
        <w:tc>
          <w:tcPr>
            <w:tcW w:w="2497" w:type="dxa"/>
          </w:tcPr>
          <w:p w14:paraId="26EB8E99" w14:textId="77777777" w:rsidR="001F22AA" w:rsidRPr="003F413C" w:rsidRDefault="00CE45FC">
            <w:pPr>
              <w:spacing w:before="20" w:after="20"/>
              <w:rPr>
                <w:rFonts w:ascii="Arial" w:hAnsi="Arial" w:cs="Arial"/>
              </w:rPr>
            </w:pPr>
            <w:r w:rsidRPr="003F413C">
              <w:rPr>
                <w:rFonts w:ascii="Arial" w:hAnsi="Arial" w:cs="Arial"/>
                <w:i/>
                <w:color w:val="7A8492"/>
                <w:sz w:val="19"/>
              </w:rPr>
              <w:t>[Assessment and basis]</w:t>
            </w:r>
          </w:p>
        </w:tc>
        <w:tc>
          <w:tcPr>
            <w:tcW w:w="2497" w:type="dxa"/>
          </w:tcPr>
          <w:p w14:paraId="35CA5149" w14:textId="77777777" w:rsidR="001F22AA" w:rsidRPr="003F413C" w:rsidRDefault="00CE45FC">
            <w:pPr>
              <w:spacing w:before="20" w:after="20"/>
              <w:rPr>
                <w:rFonts w:ascii="Arial" w:hAnsi="Arial" w:cs="Arial"/>
              </w:rPr>
            </w:pPr>
            <w:r w:rsidRPr="003F413C">
              <w:rPr>
                <w:rFonts w:ascii="Arial" w:hAnsi="Arial" w:cs="Arial"/>
                <w:i/>
                <w:color w:val="7A8492"/>
                <w:sz w:val="19"/>
              </w:rPr>
              <w:t>[Action and owner]</w:t>
            </w:r>
          </w:p>
        </w:tc>
        <w:tc>
          <w:tcPr>
            <w:tcW w:w="2497" w:type="dxa"/>
          </w:tcPr>
          <w:p w14:paraId="2D9D1EDC" w14:textId="77777777" w:rsidR="001F22AA" w:rsidRPr="003F413C" w:rsidRDefault="00CE45FC">
            <w:pPr>
              <w:spacing w:before="20" w:after="20"/>
              <w:rPr>
                <w:rFonts w:ascii="Arial" w:hAnsi="Arial" w:cs="Arial"/>
              </w:rPr>
            </w:pPr>
            <w:r w:rsidRPr="003F413C">
              <w:rPr>
                <w:rFonts w:ascii="Arial" w:hAnsi="Arial" w:cs="Arial"/>
                <w:i/>
                <w:color w:val="7A8492"/>
                <w:sz w:val="19"/>
              </w:rPr>
              <w:t>[Exposure after action]</w:t>
            </w:r>
          </w:p>
        </w:tc>
      </w:tr>
    </w:tbl>
    <w:p w14:paraId="75D6ADDC" w14:textId="77777777" w:rsidR="001F22AA" w:rsidRPr="003F413C" w:rsidRDefault="001F22AA">
      <w:pPr>
        <w:spacing w:after="40"/>
        <w:rPr>
          <w:rFonts w:ascii="Arial" w:hAnsi="Arial" w:cs="Arial"/>
        </w:rPr>
      </w:pPr>
    </w:p>
    <w:p w14:paraId="47D8BE3E"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Combined downside.  </w:t>
      </w:r>
      <w:r w:rsidRPr="003F413C">
        <w:rPr>
          <w:rFonts w:ascii="Arial" w:hAnsi="Arial" w:cs="Arial"/>
          <w:i/>
          <w:color w:val="7A8492"/>
          <w:sz w:val="20"/>
        </w:rPr>
        <w:t>[Explain correlated risks and what happens if mitigants fail or take longer]</w:t>
      </w:r>
    </w:p>
    <w:p w14:paraId="61072AF6"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Unverified matters.  </w:t>
      </w:r>
      <w:r w:rsidRPr="003F413C">
        <w:rPr>
          <w:rFonts w:ascii="Arial" w:hAnsi="Arial" w:cs="Arial"/>
          <w:i/>
          <w:color w:val="7A8492"/>
          <w:sz w:val="20"/>
        </w:rPr>
        <w:t>[List missing evidence, unresolved contradictions and the effect on the recommendation]</w:t>
      </w:r>
    </w:p>
    <w:p w14:paraId="6B08026C" w14:textId="77777777" w:rsidR="001F22AA" w:rsidRPr="003F413C" w:rsidRDefault="00CE45FC">
      <w:pPr>
        <w:rPr>
          <w:rFonts w:ascii="Arial" w:hAnsi="Arial" w:cs="Arial"/>
        </w:rPr>
      </w:pPr>
      <w:r w:rsidRPr="003F413C">
        <w:rPr>
          <w:rFonts w:ascii="Arial" w:hAnsi="Arial" w:cs="Arial"/>
        </w:rPr>
        <w:br w:type="page"/>
      </w:r>
    </w:p>
    <w:p w14:paraId="2D51C805" w14:textId="77777777" w:rsidR="001F22AA" w:rsidRPr="003F413C" w:rsidRDefault="00CE45FC" w:rsidP="003F413C">
      <w:pPr>
        <w:pStyle w:val="Heading1"/>
        <w:keepNext/>
        <w:spacing w:before="280" w:after="60"/>
        <w:jc w:val="center"/>
        <w:rPr>
          <w:rFonts w:ascii="Arial" w:hAnsi="Arial" w:cs="Arial"/>
        </w:rPr>
      </w:pPr>
      <w:bookmarkStart w:id="16" w:name="_Toc239590016"/>
      <w:r w:rsidRPr="003F413C">
        <w:rPr>
          <w:rFonts w:ascii="Arial" w:hAnsi="Arial" w:cs="Arial"/>
        </w:rPr>
        <w:lastRenderedPageBreak/>
        <w:t>Part F.  Approval conditions and decision record</w:t>
      </w:r>
      <w:bookmarkEnd w:id="16"/>
    </w:p>
    <w:p w14:paraId="3573391D" w14:textId="77777777" w:rsidR="001F22AA" w:rsidRPr="003F413C" w:rsidRDefault="00CE45FC">
      <w:pPr>
        <w:pStyle w:val="Heading2"/>
        <w:spacing w:before="220" w:after="60"/>
        <w:rPr>
          <w:rFonts w:ascii="Arial" w:hAnsi="Arial" w:cs="Arial"/>
        </w:rPr>
      </w:pPr>
      <w:bookmarkStart w:id="17" w:name="_Toc239590017"/>
      <w:r w:rsidRPr="003F413C">
        <w:rPr>
          <w:rFonts w:ascii="Arial" w:hAnsi="Arial" w:cs="Arial"/>
        </w:rPr>
        <w:t>12.  Conditions and monitoring</w:t>
      </w:r>
      <w:bookmarkEnd w:id="17"/>
    </w:p>
    <w:tbl>
      <w:tblPr>
        <w:tblW w:w="0" w:type="auto"/>
        <w:tblBorders>
          <w:top w:val="single" w:sz="4" w:space="0" w:color="C7CED9"/>
          <w:left w:val="single" w:sz="4" w:space="0" w:color="C7CED9"/>
          <w:bottom w:val="single" w:sz="4" w:space="0" w:color="C7CED9"/>
          <w:right w:val="single" w:sz="4" w:space="0" w:color="C7CED9"/>
          <w:insideH w:val="single" w:sz="4" w:space="0" w:color="C7CED9"/>
          <w:insideV w:val="single" w:sz="4" w:space="0" w:color="C7CED9"/>
        </w:tblBorders>
        <w:tblLayout w:type="fixed"/>
        <w:tblLook w:val="04A0" w:firstRow="1" w:lastRow="0" w:firstColumn="1" w:lastColumn="0" w:noHBand="0" w:noVBand="1"/>
      </w:tblPr>
      <w:tblGrid>
        <w:gridCol w:w="2497"/>
        <w:gridCol w:w="2497"/>
        <w:gridCol w:w="2497"/>
        <w:gridCol w:w="2497"/>
      </w:tblGrid>
      <w:tr w:rsidR="001F22AA" w:rsidRPr="003F413C" w14:paraId="07ED5248" w14:textId="77777777">
        <w:tc>
          <w:tcPr>
            <w:tcW w:w="2497" w:type="dxa"/>
            <w:shd w:val="clear" w:color="auto" w:fill="0A1F44"/>
          </w:tcPr>
          <w:p w14:paraId="2062EA73" w14:textId="77777777" w:rsidR="001F22AA" w:rsidRPr="003F413C" w:rsidRDefault="00CE45FC">
            <w:pPr>
              <w:spacing w:before="20" w:after="20"/>
              <w:rPr>
                <w:rFonts w:ascii="Arial" w:hAnsi="Arial" w:cs="Arial"/>
              </w:rPr>
            </w:pPr>
            <w:r w:rsidRPr="003F413C">
              <w:rPr>
                <w:rFonts w:ascii="Arial" w:hAnsi="Arial" w:cs="Arial"/>
                <w:b/>
                <w:color w:val="FFFFFF"/>
                <w:sz w:val="19"/>
              </w:rPr>
              <w:t>Condition or open item</w:t>
            </w:r>
          </w:p>
        </w:tc>
        <w:tc>
          <w:tcPr>
            <w:tcW w:w="2497" w:type="dxa"/>
            <w:shd w:val="clear" w:color="auto" w:fill="0A1F44"/>
          </w:tcPr>
          <w:p w14:paraId="0DC8FA3F" w14:textId="77777777" w:rsidR="001F22AA" w:rsidRPr="003F413C" w:rsidRDefault="00CE45FC">
            <w:pPr>
              <w:spacing w:before="20" w:after="20"/>
              <w:rPr>
                <w:rFonts w:ascii="Arial" w:hAnsi="Arial" w:cs="Arial"/>
              </w:rPr>
            </w:pPr>
            <w:r w:rsidRPr="003F413C">
              <w:rPr>
                <w:rFonts w:ascii="Arial" w:hAnsi="Arial" w:cs="Arial"/>
                <w:b/>
                <w:color w:val="FFFFFF"/>
                <w:sz w:val="19"/>
              </w:rPr>
              <w:t>Required evidence</w:t>
            </w:r>
          </w:p>
        </w:tc>
        <w:tc>
          <w:tcPr>
            <w:tcW w:w="2497" w:type="dxa"/>
            <w:shd w:val="clear" w:color="auto" w:fill="0A1F44"/>
          </w:tcPr>
          <w:p w14:paraId="72350CC3" w14:textId="77777777" w:rsidR="001F22AA" w:rsidRPr="003F413C" w:rsidRDefault="00CE45FC">
            <w:pPr>
              <w:spacing w:before="20" w:after="20"/>
              <w:rPr>
                <w:rFonts w:ascii="Arial" w:hAnsi="Arial" w:cs="Arial"/>
              </w:rPr>
            </w:pPr>
            <w:r w:rsidRPr="003F413C">
              <w:rPr>
                <w:rFonts w:ascii="Arial" w:hAnsi="Arial" w:cs="Arial"/>
                <w:b/>
                <w:color w:val="FFFFFF"/>
                <w:sz w:val="19"/>
              </w:rPr>
              <w:t>Owner and deadline</w:t>
            </w:r>
          </w:p>
        </w:tc>
        <w:tc>
          <w:tcPr>
            <w:tcW w:w="2497" w:type="dxa"/>
            <w:shd w:val="clear" w:color="auto" w:fill="0A1F44"/>
          </w:tcPr>
          <w:p w14:paraId="783798C9" w14:textId="77777777" w:rsidR="001F22AA" w:rsidRPr="003F413C" w:rsidRDefault="00CE45FC">
            <w:pPr>
              <w:spacing w:before="20" w:after="20"/>
              <w:rPr>
                <w:rFonts w:ascii="Arial" w:hAnsi="Arial" w:cs="Arial"/>
              </w:rPr>
            </w:pPr>
            <w:r w:rsidRPr="003F413C">
              <w:rPr>
                <w:rFonts w:ascii="Arial" w:hAnsi="Arial" w:cs="Arial"/>
                <w:b/>
                <w:color w:val="FFFFFF"/>
                <w:sz w:val="19"/>
              </w:rPr>
              <w:t>Clearance authority</w:t>
            </w:r>
          </w:p>
        </w:tc>
      </w:tr>
      <w:tr w:rsidR="001F22AA" w:rsidRPr="003F413C" w14:paraId="1E252852" w14:textId="77777777">
        <w:tc>
          <w:tcPr>
            <w:tcW w:w="2497" w:type="dxa"/>
          </w:tcPr>
          <w:p w14:paraId="367A3FFD" w14:textId="77777777" w:rsidR="001F22AA" w:rsidRPr="003F413C" w:rsidRDefault="00CE45FC">
            <w:pPr>
              <w:spacing w:before="20" w:after="20"/>
              <w:rPr>
                <w:rFonts w:ascii="Arial" w:hAnsi="Arial" w:cs="Arial"/>
              </w:rPr>
            </w:pPr>
            <w:r w:rsidRPr="003F413C">
              <w:rPr>
                <w:rFonts w:ascii="Arial" w:hAnsi="Arial" w:cs="Arial"/>
                <w:b/>
                <w:i/>
                <w:color w:val="7A8492"/>
                <w:sz w:val="19"/>
              </w:rPr>
              <w:t>[Before commitment]</w:t>
            </w:r>
          </w:p>
        </w:tc>
        <w:tc>
          <w:tcPr>
            <w:tcW w:w="2497" w:type="dxa"/>
          </w:tcPr>
          <w:p w14:paraId="0AF5B0B8"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0E89343A"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40A53D15"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783E0648" w14:textId="77777777">
        <w:tc>
          <w:tcPr>
            <w:tcW w:w="2497" w:type="dxa"/>
            <w:shd w:val="clear" w:color="auto" w:fill="EEF2F8"/>
          </w:tcPr>
          <w:p w14:paraId="12889587" w14:textId="77777777" w:rsidR="001F22AA" w:rsidRPr="003F413C" w:rsidRDefault="00CE45FC">
            <w:pPr>
              <w:spacing w:before="20" w:after="20"/>
              <w:rPr>
                <w:rFonts w:ascii="Arial" w:hAnsi="Arial" w:cs="Arial"/>
              </w:rPr>
            </w:pPr>
            <w:r w:rsidRPr="003F413C">
              <w:rPr>
                <w:rFonts w:ascii="Arial" w:hAnsi="Arial" w:cs="Arial"/>
                <w:b/>
                <w:i/>
                <w:color w:val="7A8492"/>
                <w:sz w:val="19"/>
              </w:rPr>
              <w:t>[Before closing]</w:t>
            </w:r>
          </w:p>
        </w:tc>
        <w:tc>
          <w:tcPr>
            <w:tcW w:w="2497" w:type="dxa"/>
            <w:shd w:val="clear" w:color="auto" w:fill="EEF2F8"/>
          </w:tcPr>
          <w:p w14:paraId="1CDD1750"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68D42589"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shd w:val="clear" w:color="auto" w:fill="EEF2F8"/>
          </w:tcPr>
          <w:p w14:paraId="2DB0F1EE"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r w:rsidR="001F22AA" w:rsidRPr="003F413C" w14:paraId="71B6D422" w14:textId="77777777">
        <w:tc>
          <w:tcPr>
            <w:tcW w:w="2497" w:type="dxa"/>
          </w:tcPr>
          <w:p w14:paraId="7E83FBA7" w14:textId="77777777" w:rsidR="001F22AA" w:rsidRPr="003F413C" w:rsidRDefault="00CE45FC">
            <w:pPr>
              <w:spacing w:before="20" w:after="20"/>
              <w:rPr>
                <w:rFonts w:ascii="Arial" w:hAnsi="Arial" w:cs="Arial"/>
              </w:rPr>
            </w:pPr>
            <w:r w:rsidRPr="003F413C">
              <w:rPr>
                <w:rFonts w:ascii="Arial" w:hAnsi="Arial" w:cs="Arial"/>
                <w:b/>
                <w:i/>
                <w:color w:val="7A8492"/>
                <w:sz w:val="19"/>
              </w:rPr>
              <w:t>[Post-investment]</w:t>
            </w:r>
          </w:p>
        </w:tc>
        <w:tc>
          <w:tcPr>
            <w:tcW w:w="2497" w:type="dxa"/>
          </w:tcPr>
          <w:p w14:paraId="285A2D7B"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268F8C3F"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c>
          <w:tcPr>
            <w:tcW w:w="2497" w:type="dxa"/>
          </w:tcPr>
          <w:p w14:paraId="6C040814" w14:textId="77777777" w:rsidR="001F22AA" w:rsidRPr="003F413C" w:rsidRDefault="00CE45FC">
            <w:pPr>
              <w:spacing w:before="20" w:after="20"/>
              <w:rPr>
                <w:rFonts w:ascii="Arial" w:hAnsi="Arial" w:cs="Arial"/>
              </w:rPr>
            </w:pPr>
            <w:r w:rsidRPr="003F413C">
              <w:rPr>
                <w:rFonts w:ascii="Arial" w:hAnsi="Arial" w:cs="Arial"/>
                <w:i/>
                <w:color w:val="7A8492"/>
                <w:sz w:val="19"/>
              </w:rPr>
              <w:t>[Enter]</w:t>
            </w:r>
          </w:p>
        </w:tc>
      </w:tr>
    </w:tbl>
    <w:p w14:paraId="0DF519B6" w14:textId="77777777" w:rsidR="001F22AA" w:rsidRPr="003F413C" w:rsidRDefault="001F22AA">
      <w:pPr>
        <w:spacing w:after="40"/>
        <w:rPr>
          <w:rFonts w:ascii="Arial" w:hAnsi="Arial" w:cs="Arial"/>
        </w:rPr>
      </w:pPr>
    </w:p>
    <w:p w14:paraId="0EE80A40"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Monitoring.  </w:t>
      </w:r>
      <w:r w:rsidRPr="003F413C">
        <w:rPr>
          <w:rFonts w:ascii="Arial" w:hAnsi="Arial" w:cs="Arial"/>
          <w:i/>
          <w:color w:val="7A8492"/>
          <w:sz w:val="20"/>
        </w:rPr>
        <w:t>[KPIs, thresholds, reporting cadence, owners and escalation or intervention triggers]</w:t>
      </w:r>
    </w:p>
    <w:p w14:paraId="76DDF663" w14:textId="77777777" w:rsidR="001F22AA" w:rsidRPr="003F413C" w:rsidRDefault="00CE45FC">
      <w:pPr>
        <w:pStyle w:val="Heading2"/>
        <w:spacing w:before="220" w:after="60"/>
        <w:rPr>
          <w:rFonts w:ascii="Arial" w:hAnsi="Arial" w:cs="Arial"/>
        </w:rPr>
      </w:pPr>
      <w:bookmarkStart w:id="18" w:name="_Toc239590018"/>
      <w:r w:rsidRPr="003F413C">
        <w:rPr>
          <w:rFonts w:ascii="Arial" w:hAnsi="Arial" w:cs="Arial"/>
        </w:rPr>
        <w:t>13.  Committee decision record</w:t>
      </w:r>
      <w:bookmarkEnd w:id="18"/>
    </w:p>
    <w:p w14:paraId="3C423C8F"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Decision and authority.  </w:t>
      </w:r>
      <w:r w:rsidRPr="003F413C">
        <w:rPr>
          <w:rFonts w:ascii="Arial" w:hAnsi="Arial" w:cs="Arial"/>
          <w:i/>
          <w:color w:val="7A8492"/>
          <w:sz w:val="20"/>
        </w:rPr>
        <w:t>[Approve, approve with conditions, defer or decline; date and approving authority]</w:t>
      </w:r>
    </w:p>
    <w:p w14:paraId="541A18E2"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Approved scope.  </w:t>
      </w:r>
      <w:r w:rsidRPr="003F413C">
        <w:rPr>
          <w:rFonts w:ascii="Arial" w:hAnsi="Arial" w:cs="Arial"/>
          <w:i/>
          <w:color w:val="7A8492"/>
          <w:sz w:val="20"/>
        </w:rPr>
        <w:t>[Final amount, terms, limits, conditions and authority to clear each condition]</w:t>
      </w:r>
    </w:p>
    <w:p w14:paraId="08397544"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Rationale and challenge.  </w:t>
      </w:r>
      <w:r w:rsidRPr="003F413C">
        <w:rPr>
          <w:rFonts w:ascii="Arial" w:hAnsi="Arial" w:cs="Arial"/>
          <w:i/>
          <w:color w:val="7A8492"/>
          <w:sz w:val="20"/>
        </w:rPr>
        <w:t>[Record the rationale, material challenge, dissent or abstention as applicable]</w:t>
      </w:r>
    </w:p>
    <w:p w14:paraId="1F54590B"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Accountability.  </w:t>
      </w:r>
      <w:r w:rsidRPr="003F413C">
        <w:rPr>
          <w:rFonts w:ascii="Arial" w:hAnsi="Arial" w:cs="Arial"/>
          <w:i/>
          <w:color w:val="7A8492"/>
          <w:sz w:val="20"/>
        </w:rPr>
        <w:t>[Decision recorder, action owners, deadlines and document repository]</w:t>
      </w:r>
    </w:p>
    <w:p w14:paraId="01E8BC56" w14:textId="77777777" w:rsidR="001F22AA" w:rsidRPr="003F413C" w:rsidRDefault="00CE45FC">
      <w:pPr>
        <w:pStyle w:val="Heading2"/>
        <w:spacing w:before="220" w:after="60"/>
        <w:rPr>
          <w:rFonts w:ascii="Arial" w:hAnsi="Arial" w:cs="Arial"/>
        </w:rPr>
      </w:pPr>
      <w:bookmarkStart w:id="19" w:name="_Toc239590019"/>
      <w:r w:rsidRPr="003F413C">
        <w:rPr>
          <w:rFonts w:ascii="Arial" w:hAnsi="Arial" w:cs="Arial"/>
        </w:rPr>
        <w:t>14.  Pack control checklist</w:t>
      </w:r>
      <w:bookmarkEnd w:id="19"/>
    </w:p>
    <w:p w14:paraId="588DF1B4" w14:textId="77777777" w:rsidR="001F22AA" w:rsidRPr="003F413C" w:rsidRDefault="00CE45FC">
      <w:pPr>
        <w:spacing w:after="80" w:line="264" w:lineRule="auto"/>
        <w:jc w:val="both"/>
        <w:rPr>
          <w:rFonts w:ascii="Arial" w:hAnsi="Arial" w:cs="Arial"/>
        </w:rPr>
      </w:pPr>
      <w:r w:rsidRPr="003F413C">
        <w:rPr>
          <w:rFonts w:ascii="Arial" w:hAnsi="Arial" w:cs="Arial"/>
          <w:i/>
          <w:color w:val="5B6470"/>
          <w:sz w:val="19"/>
        </w:rPr>
        <w:t>Confirm each item before circulation and retain the supporting record.</w:t>
      </w:r>
    </w:p>
    <w:p w14:paraId="587E64A7"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Segoe UI Symbol" w:hAnsi="Segoe UI Symbol" w:cs="Segoe UI Symbol"/>
          <w:b/>
          <w:sz w:val="20"/>
        </w:rPr>
        <w:t>☐</w:t>
      </w:r>
      <w:r w:rsidRPr="003F413C">
        <w:rPr>
          <w:rFonts w:ascii="Arial" w:hAnsi="Arial" w:cs="Arial"/>
          <w:b/>
          <w:sz w:val="20"/>
        </w:rPr>
        <w:t xml:space="preserve">  </w:t>
      </w:r>
      <w:r w:rsidRPr="003F413C">
        <w:rPr>
          <w:rFonts w:ascii="Arial" w:hAnsi="Arial" w:cs="Arial"/>
          <w:sz w:val="20"/>
        </w:rPr>
        <w:t>Decision requested and recommendation are explicit and consistent.</w:t>
      </w:r>
    </w:p>
    <w:p w14:paraId="03E8387B"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Segoe UI Symbol" w:hAnsi="Segoe UI Symbol" w:cs="Segoe UI Symbol"/>
          <w:b/>
          <w:sz w:val="20"/>
        </w:rPr>
        <w:t>☐</w:t>
      </w:r>
      <w:r w:rsidRPr="003F413C">
        <w:rPr>
          <w:rFonts w:ascii="Arial" w:hAnsi="Arial" w:cs="Arial"/>
          <w:b/>
          <w:sz w:val="20"/>
        </w:rPr>
        <w:t xml:space="preserve">  </w:t>
      </w:r>
      <w:r w:rsidRPr="003F413C">
        <w:rPr>
          <w:rFonts w:ascii="Arial" w:hAnsi="Arial" w:cs="Arial"/>
          <w:sz w:val="20"/>
        </w:rPr>
        <w:t>Memo, model, valuation and diligence use the same perimeter and version.</w:t>
      </w:r>
    </w:p>
    <w:p w14:paraId="7ECB8A0A"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Segoe UI Symbol" w:hAnsi="Segoe UI Symbol" w:cs="Segoe UI Symbol"/>
          <w:b/>
          <w:sz w:val="20"/>
        </w:rPr>
        <w:t>☐</w:t>
      </w:r>
      <w:r w:rsidRPr="003F413C">
        <w:rPr>
          <w:rFonts w:ascii="Arial" w:hAnsi="Arial" w:cs="Arial"/>
          <w:b/>
          <w:sz w:val="20"/>
        </w:rPr>
        <w:t xml:space="preserve">  </w:t>
      </w:r>
      <w:r w:rsidRPr="003F413C">
        <w:rPr>
          <w:rFonts w:ascii="Arial" w:hAnsi="Arial" w:cs="Arial"/>
          <w:sz w:val="20"/>
        </w:rPr>
        <w:t>Material claims identify their source, date, owner and verification status.</w:t>
      </w:r>
    </w:p>
    <w:p w14:paraId="617BAD26"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Segoe UI Symbol" w:hAnsi="Segoe UI Symbol" w:cs="Segoe UI Symbol"/>
          <w:b/>
          <w:sz w:val="20"/>
        </w:rPr>
        <w:t>☐</w:t>
      </w:r>
      <w:r w:rsidRPr="003F413C">
        <w:rPr>
          <w:rFonts w:ascii="Arial" w:hAnsi="Arial" w:cs="Arial"/>
          <w:b/>
          <w:sz w:val="20"/>
        </w:rPr>
        <w:t xml:space="preserve">  </w:t>
      </w:r>
      <w:r w:rsidRPr="003F413C">
        <w:rPr>
          <w:rFonts w:ascii="Arial" w:hAnsi="Arial" w:cs="Arial"/>
          <w:sz w:val="20"/>
        </w:rPr>
        <w:t>Downside cases, open items and specialist limitations are visible.</w:t>
      </w:r>
    </w:p>
    <w:p w14:paraId="60AE6D09"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Segoe UI Symbol" w:hAnsi="Segoe UI Symbol" w:cs="Segoe UI Symbol"/>
          <w:b/>
          <w:sz w:val="20"/>
        </w:rPr>
        <w:t>☐</w:t>
      </w:r>
      <w:r w:rsidRPr="003F413C">
        <w:rPr>
          <w:rFonts w:ascii="Arial" w:hAnsi="Arial" w:cs="Arial"/>
          <w:b/>
          <w:sz w:val="20"/>
        </w:rPr>
        <w:t xml:space="preserve">  </w:t>
      </w:r>
      <w:r w:rsidRPr="003F413C">
        <w:rPr>
          <w:rFonts w:ascii="Arial" w:hAnsi="Arial" w:cs="Arial"/>
          <w:sz w:val="20"/>
        </w:rPr>
        <w:t>Conditions, monitoring owners and the approval record are complete.</w:t>
      </w:r>
    </w:p>
    <w:p w14:paraId="1E99D122" w14:textId="77777777" w:rsidR="001F22AA" w:rsidRPr="003F413C" w:rsidRDefault="00CE45FC">
      <w:pPr>
        <w:spacing w:after="60" w:line="259" w:lineRule="auto"/>
        <w:ind w:left="360"/>
        <w:rPr>
          <w:rFonts w:ascii="Arial" w:hAnsi="Arial" w:cs="Arial"/>
        </w:rPr>
      </w:pPr>
      <w:r w:rsidRPr="003F413C">
        <w:rPr>
          <w:rFonts w:ascii="Arial" w:hAnsi="Arial" w:cs="Arial"/>
          <w:b/>
          <w:color w:val="0A1F44"/>
          <w:sz w:val="20"/>
        </w:rPr>
        <w:t xml:space="preserve">•  </w:t>
      </w:r>
      <w:r w:rsidRPr="003F413C">
        <w:rPr>
          <w:rFonts w:ascii="Arial" w:hAnsi="Arial" w:cs="Arial"/>
          <w:b/>
          <w:sz w:val="20"/>
        </w:rPr>
        <w:t xml:space="preserve">Final review.  </w:t>
      </w:r>
      <w:r w:rsidRPr="003F413C">
        <w:rPr>
          <w:rFonts w:ascii="Arial" w:hAnsi="Arial" w:cs="Arial"/>
          <w:i/>
          <w:color w:val="7A8492"/>
          <w:sz w:val="20"/>
        </w:rPr>
        <w:t>[Reviewer, review date, approved version and location of supporting schedules]</w:t>
      </w:r>
    </w:p>
    <w:p w14:paraId="0DF8B72F" w14:textId="77777777" w:rsidR="001F22AA" w:rsidRPr="003F413C" w:rsidRDefault="00CE45FC">
      <w:pPr>
        <w:spacing w:before="200"/>
        <w:rPr>
          <w:rFonts w:ascii="Arial" w:hAnsi="Arial" w:cs="Arial"/>
        </w:rPr>
      </w:pPr>
      <w:r w:rsidRPr="003F413C">
        <w:rPr>
          <w:rFonts w:ascii="Arial" w:hAnsi="Arial" w:cs="Arial"/>
          <w:i/>
          <w:color w:val="5B6470"/>
          <w:sz w:val="16"/>
        </w:rPr>
        <w:t>Prepared by MatchPoint Partners  ·  Investment Committee Memo template v1.0, 06-Sep-2026  ·  Strictly private &amp; confidential</w:t>
      </w:r>
    </w:p>
    <w:sectPr w:rsidR="001F22AA" w:rsidRPr="003F413C" w:rsidSect="003F413C">
      <w:headerReference w:type="default" r:id="rId8"/>
      <w:footerReference w:type="default" r:id="rId9"/>
      <w:pgSz w:w="11906" w:h="16838"/>
      <w:pgMar w:top="1135" w:right="836" w:bottom="810" w:left="108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0A26D" w14:textId="77777777" w:rsidR="00657800" w:rsidRDefault="00657800" w:rsidP="00300342">
      <w:pPr>
        <w:spacing w:after="0" w:line="240" w:lineRule="auto"/>
      </w:pPr>
      <w:r>
        <w:separator/>
      </w:r>
    </w:p>
  </w:endnote>
  <w:endnote w:type="continuationSeparator" w:id="0">
    <w:p w14:paraId="69CF049B" w14:textId="77777777" w:rsidR="00657800" w:rsidRDefault="00657800" w:rsidP="00300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0535" w14:textId="77777777" w:rsidR="00C0311F" w:rsidRPr="003F413C" w:rsidRDefault="00C0311F" w:rsidP="003F413C">
    <w:pPr>
      <w:tabs>
        <w:tab w:val="center" w:pos="4513"/>
        <w:tab w:val="right" w:pos="9026"/>
      </w:tabs>
      <w:spacing w:after="0" w:line="240" w:lineRule="auto"/>
      <w:rPr>
        <w:rFonts w:ascii="Arial" w:hAnsi="Arial" w:cs="Arial"/>
        <w:b/>
        <w:color w:val="806000"/>
        <w:sz w:val="12"/>
        <w:szCs w:val="20"/>
        <w:lang w:val="en-GB"/>
      </w:rPr>
    </w:pPr>
    <w:r w:rsidRPr="003F413C">
      <w:rPr>
        <w:rFonts w:ascii="Arial" w:hAnsi="Arial" w:cs="Arial"/>
        <w:b/>
        <w:noProof/>
        <w:color w:val="806000"/>
        <w:sz w:val="12"/>
        <w:szCs w:val="20"/>
        <w:lang w:val="en-GB"/>
      </w:rPr>
      <mc:AlternateContent>
        <mc:Choice Requires="wps">
          <w:drawing>
            <wp:anchor distT="0" distB="0" distL="114300" distR="114300" simplePos="0" relativeHeight="251670528" behindDoc="0" locked="0" layoutInCell="1" allowOverlap="1" wp14:anchorId="0F6B1378" wp14:editId="19D6995E">
              <wp:simplePos x="0" y="0"/>
              <wp:positionH relativeFrom="column">
                <wp:posOffset>-17780</wp:posOffset>
              </wp:positionH>
              <wp:positionV relativeFrom="paragraph">
                <wp:posOffset>38735</wp:posOffset>
              </wp:positionV>
              <wp:extent cx="5966460" cy="0"/>
              <wp:effectExtent l="0" t="0" r="15240" b="12700"/>
              <wp:wrapNone/>
              <wp:docPr id="1" name="Straight Connector 1"/>
              <wp:cNvGraphicFramePr/>
              <a:graphic xmlns:a="http://schemas.openxmlformats.org/drawingml/2006/main">
                <a:graphicData uri="http://schemas.microsoft.com/office/word/2010/wordprocessingShape">
                  <wps:wsp>
                    <wps:cNvCnPr/>
                    <wps:spPr>
                      <a:xfrm>
                        <a:off x="0" y="0"/>
                        <a:ext cx="5966460" cy="0"/>
                      </a:xfrm>
                      <a:prstGeom prst="line">
                        <a:avLst/>
                      </a:prstGeom>
                      <a:noFill/>
                      <a:ln w="12700" cap="flat" cmpd="sng" algn="ctr">
                        <a:solidFill>
                          <a:srgbClr val="FFC000">
                            <a:lumMod val="50000"/>
                          </a:srgbClr>
                        </a:solidFill>
                        <a:prstDash val="solid"/>
                        <a:miter lim="800000"/>
                      </a:ln>
                      <a:effectLst/>
                    </wps:spPr>
                    <wps:bodyPr/>
                  </wps:wsp>
                </a:graphicData>
              </a:graphic>
              <wp14:sizeRelH relativeFrom="margin">
                <wp14:pctWidth>0</wp14:pctWidth>
              </wp14:sizeRelH>
            </wp:anchor>
          </w:drawing>
        </mc:Choice>
        <mc:Fallback>
          <w:pict>
            <v:line w14:anchorId="329AE043" id="Straight Connector 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3.05pt" to="468.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" strokecolor="#7f6000" strokeweight="1pt">
              <v:stroke joinstyle="miter"/>
            </v:line>
          </w:pict>
        </mc:Fallback>
      </mc:AlternateContent>
    </w:r>
  </w:p>
  <w:tbl>
    <w:tblPr>
      <w:tblStyle w:val="TableGrid2"/>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711BDE" w:rsidRPr="003F413C" w14:paraId="22806980" w14:textId="77777777" w:rsidTr="003F413C">
      <w:trPr>
        <w:trHeight w:val="499"/>
      </w:trPr>
      <w:tc>
        <w:tcPr>
          <w:tcW w:w="9540" w:type="dxa"/>
        </w:tcPr>
        <w:p w14:paraId="541887AF" w14:textId="0AD47F0A" w:rsidR="00711BDE" w:rsidRPr="003F413C" w:rsidRDefault="00711BDE" w:rsidP="003F413C">
          <w:pPr>
            <w:tabs>
              <w:tab w:val="center" w:pos="4513"/>
              <w:tab w:val="right" w:pos="9026"/>
            </w:tabs>
            <w:spacing w:after="0" w:line="240" w:lineRule="auto"/>
            <w:jc w:val="center"/>
            <w:rPr>
              <w:rFonts w:ascii="Arial" w:hAnsi="Arial" w:cs="Arial"/>
              <w:b/>
              <w:color w:val="404040"/>
              <w:sz w:val="12"/>
              <w:szCs w:val="20"/>
              <w:lang w:val="en-GB" w:eastAsia="en-GB"/>
            </w:rPr>
          </w:pPr>
          <w:r w:rsidRPr="003F413C">
            <w:rPr>
              <w:rFonts w:ascii="Arial" w:hAnsi="Arial" w:cs="Arial"/>
              <w:b/>
              <w:color w:val="404040"/>
              <w:sz w:val="12"/>
              <w:szCs w:val="20"/>
              <w:lang w:val="en-GB" w:eastAsia="en-GB"/>
            </w:rPr>
            <w:t>MatchPoint Services FZ-LLC</w:t>
          </w:r>
          <w:r w:rsidR="003F413C" w:rsidRPr="003F413C">
            <w:rPr>
              <w:rFonts w:ascii="Arial" w:hAnsi="Arial" w:cs="Arial"/>
              <w:b/>
              <w:color w:val="404040"/>
              <w:sz w:val="12"/>
              <w:szCs w:val="20"/>
              <w:lang w:val="en-GB" w:eastAsia="en-GB"/>
            </w:rPr>
            <w:t xml:space="preserve">            </w:t>
          </w:r>
          <w:r w:rsidRPr="003F413C">
            <w:rPr>
              <w:rFonts w:ascii="Arial" w:hAnsi="Arial" w:cs="Arial"/>
              <w:color w:val="404040"/>
              <w:sz w:val="12"/>
              <w:szCs w:val="20"/>
              <w:lang w:val="en-GB" w:eastAsia="en-GB"/>
            </w:rPr>
            <w:t xml:space="preserve">Tel: +971 523451119 (UAE)     Web: </w:t>
          </w:r>
          <w:hyperlink r:id="rId1" w:history="1">
            <w:r w:rsidRPr="003F413C">
              <w:rPr>
                <w:rFonts w:ascii="Arial" w:hAnsi="Arial" w:cs="Arial"/>
                <w:color w:val="0563C1"/>
                <w:sz w:val="12"/>
                <w:szCs w:val="20"/>
                <w:u w:val="single"/>
                <w:lang w:val="en-GB" w:eastAsia="en-GB"/>
              </w:rPr>
              <w:t>https://www.matchpoint-partners.com</w:t>
            </w:r>
          </w:hyperlink>
        </w:p>
        <w:p w14:paraId="4C1A2814" w14:textId="77777777" w:rsidR="00711BDE" w:rsidRPr="003F413C" w:rsidRDefault="00711BDE" w:rsidP="003F413C">
          <w:pPr>
            <w:tabs>
              <w:tab w:val="center" w:pos="4513"/>
              <w:tab w:val="right" w:pos="9026"/>
            </w:tabs>
            <w:spacing w:after="0" w:line="240" w:lineRule="auto"/>
            <w:rPr>
              <w:rFonts w:ascii="Arial" w:hAnsi="Arial" w:cs="Arial"/>
              <w:b/>
              <w:color w:val="404040"/>
              <w:sz w:val="12"/>
              <w:szCs w:val="20"/>
              <w:lang w:val="en-GB" w:eastAsia="en-GB"/>
            </w:rPr>
          </w:pPr>
        </w:p>
      </w:tc>
    </w:tr>
  </w:tbl>
  <w:p w14:paraId="335C0BFF" w14:textId="77777777" w:rsidR="004E70C2" w:rsidRPr="003F413C" w:rsidRDefault="004E70C2" w:rsidP="003F413C">
    <w:pPr>
      <w:pStyle w:val="Footer"/>
      <w:spacing w:line="240" w:lineRule="auto"/>
      <w:rPr>
        <w:rFonts w:ascii="Arial" w:hAnsi="Arial"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2B273" w14:textId="77777777" w:rsidR="00657800" w:rsidRDefault="00657800" w:rsidP="00300342">
      <w:pPr>
        <w:spacing w:after="0" w:line="240" w:lineRule="auto"/>
      </w:pPr>
      <w:r>
        <w:separator/>
      </w:r>
    </w:p>
  </w:footnote>
  <w:footnote w:type="continuationSeparator" w:id="0">
    <w:p w14:paraId="0AC6924C" w14:textId="77777777" w:rsidR="00657800" w:rsidRDefault="00657800" w:rsidP="00300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3A90" w14:textId="22975AA9" w:rsidR="004E70C2" w:rsidRPr="009218A7" w:rsidRDefault="009218A7" w:rsidP="009218A7">
    <w:pPr>
      <w:pStyle w:val="Header"/>
    </w:pPr>
    <w:r w:rsidRPr="002716DE">
      <w:rPr>
        <w:noProof/>
      </w:rPr>
      <w:t xml:space="preserve"> </w:t>
    </w:r>
    <w:r w:rsidRPr="002F4D7E">
      <w:rPr>
        <w:noProof/>
      </w:rPr>
      <w:drawing>
        <wp:inline distT="0" distB="0" distL="0" distR="0" wp14:anchorId="7E1EB01A" wp14:editId="7A56BF51">
          <wp:extent cx="2073600" cy="594000"/>
          <wp:effectExtent l="0" t="0" r="0" b="3175"/>
          <wp:docPr id="211767821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19924" name="Picture 1" descr="A close-up of a logo&#10;&#10;AI-generated content may be incorrect."/>
                  <pic:cNvPicPr/>
                </pic:nvPicPr>
                <pic:blipFill>
                  <a:blip r:embed="rId1"/>
                  <a:stretch>
                    <a:fillRect/>
                  </a:stretch>
                </pic:blipFill>
                <pic:spPr>
                  <a:xfrm>
                    <a:off x="0" y="0"/>
                    <a:ext cx="2073600" cy="594000"/>
                  </a:xfrm>
                  <a:prstGeom prst="rect">
                    <a:avLst/>
                  </a:prstGeom>
                </pic:spPr>
              </pic:pic>
            </a:graphicData>
          </a:graphic>
        </wp:inline>
      </w:drawing>
    </w:r>
    <w:r w:rsidRPr="002F4D7E">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558FF7A"/>
    <w:lvl w:ilvl="0">
      <w:start w:val="1"/>
      <w:numFmt w:val="bullet"/>
      <w:pStyle w:val="ListBullet"/>
      <w:lvlText w:val=""/>
      <w:lvlJc w:val="left"/>
      <w:pPr>
        <w:tabs>
          <w:tab w:val="num" w:pos="360"/>
        </w:tabs>
        <w:ind w:left="360" w:hanging="360"/>
      </w:pPr>
      <w:rPr>
        <w:rFonts w:ascii="Symbol" w:hAnsi="Symbol" w:hint="default"/>
      </w:rPr>
    </w:lvl>
  </w:abstractNum>
  <w:num w:numId="1" w16cid:durableId="125639847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4D5"/>
    <w:rsid w:val="000010DC"/>
    <w:rsid w:val="00026482"/>
    <w:rsid w:val="00027B66"/>
    <w:rsid w:val="00034274"/>
    <w:rsid w:val="00034B50"/>
    <w:rsid w:val="000369B2"/>
    <w:rsid w:val="00044A51"/>
    <w:rsid w:val="00045784"/>
    <w:rsid w:val="00061638"/>
    <w:rsid w:val="00067096"/>
    <w:rsid w:val="000760F9"/>
    <w:rsid w:val="00077FEB"/>
    <w:rsid w:val="000808AE"/>
    <w:rsid w:val="0009271D"/>
    <w:rsid w:val="0009643F"/>
    <w:rsid w:val="000B744A"/>
    <w:rsid w:val="000C4B8A"/>
    <w:rsid w:val="00101B9E"/>
    <w:rsid w:val="00104304"/>
    <w:rsid w:val="00107F4A"/>
    <w:rsid w:val="001124AD"/>
    <w:rsid w:val="00127C26"/>
    <w:rsid w:val="00145616"/>
    <w:rsid w:val="00150A7D"/>
    <w:rsid w:val="00153012"/>
    <w:rsid w:val="00160F4D"/>
    <w:rsid w:val="001618EA"/>
    <w:rsid w:val="0017062C"/>
    <w:rsid w:val="0019038F"/>
    <w:rsid w:val="00193BF2"/>
    <w:rsid w:val="001A7488"/>
    <w:rsid w:val="001C528C"/>
    <w:rsid w:val="001D79B0"/>
    <w:rsid w:val="001E615C"/>
    <w:rsid w:val="001F22AA"/>
    <w:rsid w:val="001F23FD"/>
    <w:rsid w:val="002017AD"/>
    <w:rsid w:val="00214895"/>
    <w:rsid w:val="00220FE9"/>
    <w:rsid w:val="002265BE"/>
    <w:rsid w:val="00240124"/>
    <w:rsid w:val="002668E2"/>
    <w:rsid w:val="00274635"/>
    <w:rsid w:val="00275F1C"/>
    <w:rsid w:val="00276168"/>
    <w:rsid w:val="002B4392"/>
    <w:rsid w:val="002C4EA8"/>
    <w:rsid w:val="002D33F3"/>
    <w:rsid w:val="002E7A23"/>
    <w:rsid w:val="002F3477"/>
    <w:rsid w:val="00300342"/>
    <w:rsid w:val="0030186E"/>
    <w:rsid w:val="003100FF"/>
    <w:rsid w:val="00310931"/>
    <w:rsid w:val="003128F5"/>
    <w:rsid w:val="00324025"/>
    <w:rsid w:val="00326F89"/>
    <w:rsid w:val="0032779A"/>
    <w:rsid w:val="003318AB"/>
    <w:rsid w:val="00333789"/>
    <w:rsid w:val="00336542"/>
    <w:rsid w:val="00343469"/>
    <w:rsid w:val="003570B0"/>
    <w:rsid w:val="003633A3"/>
    <w:rsid w:val="00363844"/>
    <w:rsid w:val="00366946"/>
    <w:rsid w:val="003741A3"/>
    <w:rsid w:val="003758AC"/>
    <w:rsid w:val="00387FE2"/>
    <w:rsid w:val="003B4F61"/>
    <w:rsid w:val="003B59DA"/>
    <w:rsid w:val="003B6FDA"/>
    <w:rsid w:val="003B7260"/>
    <w:rsid w:val="003D4913"/>
    <w:rsid w:val="003D5B88"/>
    <w:rsid w:val="003E17CD"/>
    <w:rsid w:val="003E325C"/>
    <w:rsid w:val="003E66B1"/>
    <w:rsid w:val="003E6D8B"/>
    <w:rsid w:val="003E7E67"/>
    <w:rsid w:val="003F413C"/>
    <w:rsid w:val="00413826"/>
    <w:rsid w:val="00425A99"/>
    <w:rsid w:val="00435572"/>
    <w:rsid w:val="004409BE"/>
    <w:rsid w:val="0045533F"/>
    <w:rsid w:val="004560E5"/>
    <w:rsid w:val="00473401"/>
    <w:rsid w:val="0047387F"/>
    <w:rsid w:val="00497699"/>
    <w:rsid w:val="004B076B"/>
    <w:rsid w:val="004C2F8A"/>
    <w:rsid w:val="004C37B0"/>
    <w:rsid w:val="004D21F7"/>
    <w:rsid w:val="004E428B"/>
    <w:rsid w:val="004E70C2"/>
    <w:rsid w:val="004F44D2"/>
    <w:rsid w:val="004F501D"/>
    <w:rsid w:val="004F7B3D"/>
    <w:rsid w:val="004F7BC5"/>
    <w:rsid w:val="005107E1"/>
    <w:rsid w:val="00510CA7"/>
    <w:rsid w:val="00511689"/>
    <w:rsid w:val="00517238"/>
    <w:rsid w:val="00523269"/>
    <w:rsid w:val="005254E7"/>
    <w:rsid w:val="00541888"/>
    <w:rsid w:val="00552A98"/>
    <w:rsid w:val="00566DB9"/>
    <w:rsid w:val="005735B8"/>
    <w:rsid w:val="00580075"/>
    <w:rsid w:val="00590541"/>
    <w:rsid w:val="00591CA5"/>
    <w:rsid w:val="00597D41"/>
    <w:rsid w:val="005A2E1F"/>
    <w:rsid w:val="005B07A2"/>
    <w:rsid w:val="005C4700"/>
    <w:rsid w:val="005D4FE0"/>
    <w:rsid w:val="005D7B40"/>
    <w:rsid w:val="005E0F25"/>
    <w:rsid w:val="005E738C"/>
    <w:rsid w:val="005F1E1F"/>
    <w:rsid w:val="006012DF"/>
    <w:rsid w:val="0060336D"/>
    <w:rsid w:val="006160DB"/>
    <w:rsid w:val="006161C7"/>
    <w:rsid w:val="00626CB7"/>
    <w:rsid w:val="00632679"/>
    <w:rsid w:val="00643D18"/>
    <w:rsid w:val="00650D23"/>
    <w:rsid w:val="00657800"/>
    <w:rsid w:val="00660C82"/>
    <w:rsid w:val="00661BD9"/>
    <w:rsid w:val="00666E76"/>
    <w:rsid w:val="0068587C"/>
    <w:rsid w:val="006870AF"/>
    <w:rsid w:val="00690A55"/>
    <w:rsid w:val="006A4FE4"/>
    <w:rsid w:val="006C3AAA"/>
    <w:rsid w:val="006C76B0"/>
    <w:rsid w:val="006E4215"/>
    <w:rsid w:val="006E665F"/>
    <w:rsid w:val="006F2B27"/>
    <w:rsid w:val="006F4D8F"/>
    <w:rsid w:val="00705A12"/>
    <w:rsid w:val="007075BC"/>
    <w:rsid w:val="00711BDE"/>
    <w:rsid w:val="00721794"/>
    <w:rsid w:val="00735FFD"/>
    <w:rsid w:val="00736801"/>
    <w:rsid w:val="00761E1A"/>
    <w:rsid w:val="00764F54"/>
    <w:rsid w:val="007758D1"/>
    <w:rsid w:val="00786F57"/>
    <w:rsid w:val="0079064F"/>
    <w:rsid w:val="00796A0E"/>
    <w:rsid w:val="007A7B01"/>
    <w:rsid w:val="007B0FEE"/>
    <w:rsid w:val="007B1E24"/>
    <w:rsid w:val="007C1371"/>
    <w:rsid w:val="007D7188"/>
    <w:rsid w:val="007D7623"/>
    <w:rsid w:val="007F4284"/>
    <w:rsid w:val="007F5E92"/>
    <w:rsid w:val="00802AA8"/>
    <w:rsid w:val="00823EAA"/>
    <w:rsid w:val="00824750"/>
    <w:rsid w:val="0083088B"/>
    <w:rsid w:val="00841A67"/>
    <w:rsid w:val="0085031E"/>
    <w:rsid w:val="00852F7F"/>
    <w:rsid w:val="008631B2"/>
    <w:rsid w:val="008634C6"/>
    <w:rsid w:val="008844D5"/>
    <w:rsid w:val="00887A0B"/>
    <w:rsid w:val="008958D0"/>
    <w:rsid w:val="008B115B"/>
    <w:rsid w:val="008B439D"/>
    <w:rsid w:val="008C776F"/>
    <w:rsid w:val="008D407A"/>
    <w:rsid w:val="008E397B"/>
    <w:rsid w:val="008F3AC6"/>
    <w:rsid w:val="008F4B79"/>
    <w:rsid w:val="008F64BA"/>
    <w:rsid w:val="008F7D03"/>
    <w:rsid w:val="00901889"/>
    <w:rsid w:val="00905560"/>
    <w:rsid w:val="009127CD"/>
    <w:rsid w:val="00912B8E"/>
    <w:rsid w:val="00915014"/>
    <w:rsid w:val="009218A7"/>
    <w:rsid w:val="00931CC9"/>
    <w:rsid w:val="00931DDA"/>
    <w:rsid w:val="009473DB"/>
    <w:rsid w:val="00970A74"/>
    <w:rsid w:val="009739C0"/>
    <w:rsid w:val="00975AFF"/>
    <w:rsid w:val="00987EE2"/>
    <w:rsid w:val="0099726D"/>
    <w:rsid w:val="009E0015"/>
    <w:rsid w:val="00A07F5F"/>
    <w:rsid w:val="00A145A1"/>
    <w:rsid w:val="00A151ED"/>
    <w:rsid w:val="00A16545"/>
    <w:rsid w:val="00A20CA2"/>
    <w:rsid w:val="00A3047A"/>
    <w:rsid w:val="00A409D7"/>
    <w:rsid w:val="00A7008C"/>
    <w:rsid w:val="00AB2F64"/>
    <w:rsid w:val="00AB3E5C"/>
    <w:rsid w:val="00AB4262"/>
    <w:rsid w:val="00AB6D53"/>
    <w:rsid w:val="00AC108F"/>
    <w:rsid w:val="00AD247E"/>
    <w:rsid w:val="00AD60B2"/>
    <w:rsid w:val="00AF139A"/>
    <w:rsid w:val="00AF1A3D"/>
    <w:rsid w:val="00AF2926"/>
    <w:rsid w:val="00AF73A7"/>
    <w:rsid w:val="00B079F0"/>
    <w:rsid w:val="00B15FFF"/>
    <w:rsid w:val="00B23F5A"/>
    <w:rsid w:val="00B34615"/>
    <w:rsid w:val="00B404D9"/>
    <w:rsid w:val="00B534AC"/>
    <w:rsid w:val="00B655B1"/>
    <w:rsid w:val="00B724D3"/>
    <w:rsid w:val="00B80D4E"/>
    <w:rsid w:val="00B86D74"/>
    <w:rsid w:val="00B8754E"/>
    <w:rsid w:val="00B92FFA"/>
    <w:rsid w:val="00B96177"/>
    <w:rsid w:val="00BA09C8"/>
    <w:rsid w:val="00BB1B7C"/>
    <w:rsid w:val="00BD4627"/>
    <w:rsid w:val="00BD527C"/>
    <w:rsid w:val="00BE5212"/>
    <w:rsid w:val="00BE6C4C"/>
    <w:rsid w:val="00C0311F"/>
    <w:rsid w:val="00C10366"/>
    <w:rsid w:val="00C10FD6"/>
    <w:rsid w:val="00C16852"/>
    <w:rsid w:val="00C3413F"/>
    <w:rsid w:val="00C355ED"/>
    <w:rsid w:val="00C45374"/>
    <w:rsid w:val="00C5505A"/>
    <w:rsid w:val="00C552A9"/>
    <w:rsid w:val="00C57CF9"/>
    <w:rsid w:val="00C57DA3"/>
    <w:rsid w:val="00C8479F"/>
    <w:rsid w:val="00C95691"/>
    <w:rsid w:val="00CA49C5"/>
    <w:rsid w:val="00CB63E4"/>
    <w:rsid w:val="00CC5E57"/>
    <w:rsid w:val="00CD1C02"/>
    <w:rsid w:val="00CE0990"/>
    <w:rsid w:val="00CE45FC"/>
    <w:rsid w:val="00CE7006"/>
    <w:rsid w:val="00CF0034"/>
    <w:rsid w:val="00CF080D"/>
    <w:rsid w:val="00CF119F"/>
    <w:rsid w:val="00D0151D"/>
    <w:rsid w:val="00D05780"/>
    <w:rsid w:val="00D07307"/>
    <w:rsid w:val="00D07957"/>
    <w:rsid w:val="00D10812"/>
    <w:rsid w:val="00D2774C"/>
    <w:rsid w:val="00D70915"/>
    <w:rsid w:val="00DA4730"/>
    <w:rsid w:val="00DB023D"/>
    <w:rsid w:val="00DC4954"/>
    <w:rsid w:val="00DC78C8"/>
    <w:rsid w:val="00DD5947"/>
    <w:rsid w:val="00DE48A8"/>
    <w:rsid w:val="00DE539B"/>
    <w:rsid w:val="00DE6E16"/>
    <w:rsid w:val="00DF40F6"/>
    <w:rsid w:val="00E1798D"/>
    <w:rsid w:val="00E20A15"/>
    <w:rsid w:val="00E318A3"/>
    <w:rsid w:val="00E31A29"/>
    <w:rsid w:val="00E36369"/>
    <w:rsid w:val="00E46BA1"/>
    <w:rsid w:val="00E57CC7"/>
    <w:rsid w:val="00E57F24"/>
    <w:rsid w:val="00E60074"/>
    <w:rsid w:val="00E61C90"/>
    <w:rsid w:val="00E62C86"/>
    <w:rsid w:val="00E66516"/>
    <w:rsid w:val="00E869C8"/>
    <w:rsid w:val="00E87231"/>
    <w:rsid w:val="00E92153"/>
    <w:rsid w:val="00E97CAD"/>
    <w:rsid w:val="00EA2A73"/>
    <w:rsid w:val="00EA5986"/>
    <w:rsid w:val="00EB1056"/>
    <w:rsid w:val="00EB428E"/>
    <w:rsid w:val="00EB584F"/>
    <w:rsid w:val="00EB6806"/>
    <w:rsid w:val="00EC16B1"/>
    <w:rsid w:val="00EC52D3"/>
    <w:rsid w:val="00ED0DCD"/>
    <w:rsid w:val="00ED2DE4"/>
    <w:rsid w:val="00ED4E28"/>
    <w:rsid w:val="00F0274F"/>
    <w:rsid w:val="00F03F6C"/>
    <w:rsid w:val="00F155FB"/>
    <w:rsid w:val="00F2059B"/>
    <w:rsid w:val="00F32A29"/>
    <w:rsid w:val="00F374CA"/>
    <w:rsid w:val="00F41A8C"/>
    <w:rsid w:val="00F442C0"/>
    <w:rsid w:val="00F7005A"/>
    <w:rsid w:val="00F70BFA"/>
    <w:rsid w:val="00F713DC"/>
    <w:rsid w:val="00F76255"/>
    <w:rsid w:val="00F90EDC"/>
    <w:rsid w:val="00FA30F0"/>
    <w:rsid w:val="00FA78B5"/>
    <w:rsid w:val="00FB2A0D"/>
    <w:rsid w:val="00FF004A"/>
    <w:rsid w:val="00FF12BB"/>
    <w:rsid w:val="00FF72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7D1ED"/>
  <w15:chartTrackingRefBased/>
  <w15:docId w15:val="{FBFFD06E-5C51-4FE3-9EFA-4FC282106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A99"/>
    <w:pPr>
      <w:spacing w:after="200" w:line="276" w:lineRule="auto"/>
    </w:pPr>
    <w:rPr>
      <w:sz w:val="22"/>
      <w:szCs w:val="22"/>
      <w:lang w:val="en-IN" w:eastAsia="en-US"/>
    </w:rPr>
  </w:style>
  <w:style w:type="paragraph" w:styleId="Heading1">
    <w:name w:val="heading 1"/>
    <w:basedOn w:val="Normal"/>
    <w:link w:val="Heading1Char"/>
    <w:uiPriority w:val="1"/>
    <w:qFormat/>
    <w:rsid w:val="00CD1C02"/>
    <w:pPr>
      <w:widowControl w:val="0"/>
      <w:autoSpaceDE w:val="0"/>
      <w:autoSpaceDN w:val="0"/>
      <w:spacing w:after="0" w:line="240" w:lineRule="auto"/>
      <w:ind w:left="1453" w:hanging="338"/>
      <w:outlineLvl w:val="0"/>
    </w:pPr>
    <w:rPr>
      <w:rFonts w:cs="Calibri"/>
      <w:b/>
      <w:bCs/>
      <w:color w:val="0A1F44"/>
      <w:sz w:val="26"/>
      <w:lang w:val="en-US"/>
    </w:rPr>
  </w:style>
  <w:style w:type="paragraph" w:styleId="Heading2">
    <w:name w:val="heading 2"/>
    <w:basedOn w:val="Normal"/>
    <w:next w:val="Normal"/>
    <w:link w:val="Heading2Char"/>
    <w:uiPriority w:val="9"/>
    <w:semiHidden/>
    <w:unhideWhenUsed/>
    <w:qFormat/>
    <w:rsid w:val="00276168"/>
    <w:pPr>
      <w:keepNext/>
      <w:keepLines/>
      <w:spacing w:before="40" w:after="0"/>
      <w:outlineLvl w:val="1"/>
    </w:pPr>
    <w:rPr>
      <w:rFonts w:cs="Calibri"/>
      <w:b/>
      <w:color w:val="0A1F44"/>
      <w:sz w:val="24"/>
      <w:szCs w:val="26"/>
    </w:rPr>
  </w:style>
  <w:style w:type="paragraph" w:styleId="Heading3">
    <w:name w:val="heading 3"/>
    <w:basedOn w:val="Normal"/>
    <w:next w:val="Normal"/>
    <w:link w:val="Heading3Char"/>
    <w:uiPriority w:val="9"/>
    <w:semiHidden/>
    <w:unhideWhenUsed/>
    <w:qFormat/>
    <w:rsid w:val="0027616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342"/>
    <w:pPr>
      <w:tabs>
        <w:tab w:val="center" w:pos="4513"/>
        <w:tab w:val="right" w:pos="9026"/>
      </w:tabs>
    </w:pPr>
  </w:style>
  <w:style w:type="character" w:customStyle="1" w:styleId="HeaderChar">
    <w:name w:val="Header Char"/>
    <w:link w:val="Header"/>
    <w:uiPriority w:val="99"/>
    <w:rsid w:val="00300342"/>
    <w:rPr>
      <w:sz w:val="22"/>
      <w:szCs w:val="22"/>
      <w:lang w:val="en-IN" w:eastAsia="en-US"/>
    </w:rPr>
  </w:style>
  <w:style w:type="paragraph" w:styleId="Footer">
    <w:name w:val="footer"/>
    <w:basedOn w:val="Normal"/>
    <w:link w:val="FooterChar"/>
    <w:uiPriority w:val="99"/>
    <w:unhideWhenUsed/>
    <w:rsid w:val="00300342"/>
    <w:pPr>
      <w:tabs>
        <w:tab w:val="center" w:pos="4513"/>
        <w:tab w:val="right" w:pos="9026"/>
      </w:tabs>
    </w:pPr>
  </w:style>
  <w:style w:type="character" w:customStyle="1" w:styleId="FooterChar">
    <w:name w:val="Footer Char"/>
    <w:link w:val="Footer"/>
    <w:uiPriority w:val="99"/>
    <w:rsid w:val="00300342"/>
    <w:rPr>
      <w:sz w:val="22"/>
      <w:szCs w:val="22"/>
      <w:lang w:val="en-IN" w:eastAsia="en-US"/>
    </w:rPr>
  </w:style>
  <w:style w:type="table" w:styleId="TableGrid">
    <w:name w:val="Table Grid"/>
    <w:basedOn w:val="TableNormal"/>
    <w:uiPriority w:val="59"/>
    <w:rsid w:val="00DB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3D18"/>
    <w:rPr>
      <w:color w:val="0563C1" w:themeColor="hyperlink"/>
      <w:u w:val="single"/>
    </w:rPr>
  </w:style>
  <w:style w:type="character" w:customStyle="1" w:styleId="UnresolvedMention1">
    <w:name w:val="Unresolved Mention1"/>
    <w:basedOn w:val="DefaultParagraphFont"/>
    <w:uiPriority w:val="99"/>
    <w:semiHidden/>
    <w:unhideWhenUsed/>
    <w:rsid w:val="00643D18"/>
    <w:rPr>
      <w:color w:val="808080"/>
      <w:shd w:val="clear" w:color="auto" w:fill="E6E6E6"/>
    </w:rPr>
  </w:style>
  <w:style w:type="paragraph" w:styleId="BodyText">
    <w:name w:val="Body Text"/>
    <w:basedOn w:val="Normal"/>
    <w:link w:val="BodyTextChar"/>
    <w:uiPriority w:val="99"/>
    <w:semiHidden/>
    <w:unhideWhenUsed/>
    <w:rsid w:val="00C5505A"/>
    <w:pPr>
      <w:spacing w:after="120"/>
    </w:pPr>
  </w:style>
  <w:style w:type="character" w:customStyle="1" w:styleId="BodyTextChar">
    <w:name w:val="Body Text Char"/>
    <w:basedOn w:val="DefaultParagraphFont"/>
    <w:link w:val="BodyText"/>
    <w:uiPriority w:val="99"/>
    <w:semiHidden/>
    <w:rsid w:val="00C5505A"/>
    <w:rPr>
      <w:sz w:val="22"/>
      <w:szCs w:val="22"/>
      <w:lang w:val="en-IN" w:eastAsia="en-US"/>
    </w:rPr>
  </w:style>
  <w:style w:type="paragraph" w:styleId="ListParagraph">
    <w:name w:val="List Paragraph"/>
    <w:basedOn w:val="Normal"/>
    <w:uiPriority w:val="34"/>
    <w:qFormat/>
    <w:rsid w:val="00E62C86"/>
    <w:pPr>
      <w:spacing w:after="0" w:line="240" w:lineRule="auto"/>
      <w:ind w:left="720"/>
      <w:contextualSpacing/>
    </w:pPr>
    <w:rPr>
      <w:rFonts w:ascii="Times New Roman" w:eastAsiaTheme="minorEastAsia" w:hAnsi="Times New Roman"/>
      <w:sz w:val="24"/>
      <w:szCs w:val="24"/>
      <w:lang w:val="en-GB" w:eastAsia="en-GB"/>
    </w:rPr>
  </w:style>
  <w:style w:type="paragraph" w:styleId="NormalWeb">
    <w:name w:val="Normal (Web)"/>
    <w:basedOn w:val="Normal"/>
    <w:uiPriority w:val="99"/>
    <w:unhideWhenUsed/>
    <w:rsid w:val="00786F57"/>
    <w:pPr>
      <w:spacing w:before="100" w:beforeAutospacing="1" w:after="100" w:afterAutospacing="1" w:line="240" w:lineRule="auto"/>
    </w:pPr>
    <w:rPr>
      <w:rFonts w:ascii="Times New Roman" w:eastAsiaTheme="minorEastAsia" w:hAnsi="Times New Roman"/>
      <w:sz w:val="24"/>
      <w:szCs w:val="24"/>
      <w:lang w:val="en-GB" w:eastAsia="en-GB"/>
    </w:rPr>
  </w:style>
  <w:style w:type="character" w:customStyle="1" w:styleId="Heading1Char">
    <w:name w:val="Heading 1 Char"/>
    <w:basedOn w:val="DefaultParagraphFont"/>
    <w:link w:val="Heading1"/>
    <w:uiPriority w:val="1"/>
    <w:rsid w:val="00CD1C02"/>
    <w:rPr>
      <w:rFonts w:cs="Calibri"/>
      <w:b/>
      <w:bCs/>
      <w:sz w:val="22"/>
      <w:szCs w:val="22"/>
      <w:lang w:val="en-US" w:eastAsia="en-US"/>
    </w:rPr>
  </w:style>
  <w:style w:type="character" w:customStyle="1" w:styleId="MSGENFONTSTYLENAMETEMPLATEROLENUMBERMSGENFONTSTYLENAMEBYROLETEXT2">
    <w:name w:val="MSG_EN_FONT_STYLE_NAME_TEMPLATE_ROLE_NUMBER MSG_EN_FONT_STYLE_NAME_BY_ROLE_TEXT 2"/>
    <w:basedOn w:val="DefaultParagraphFont"/>
    <w:rsid w:val="008F64BA"/>
    <w:rPr>
      <w:rFonts w:ascii="Arial" w:eastAsia="Arial" w:hAnsi="Arial" w:cs="Arial"/>
      <w:b w:val="0"/>
      <w:bCs w:val="0"/>
      <w:i w:val="0"/>
      <w:iCs w:val="0"/>
      <w:smallCaps w:val="0"/>
      <w:strike w:val="0"/>
      <w:color w:val="000000"/>
      <w:spacing w:val="0"/>
      <w:w w:val="100"/>
      <w:position w:val="0"/>
      <w:sz w:val="18"/>
      <w:szCs w:val="18"/>
      <w:u w:val="none"/>
      <w:lang w:val="en-US" w:eastAsia="en-US" w:bidi="en-US"/>
    </w:rPr>
  </w:style>
  <w:style w:type="table" w:styleId="GridTable5Dark-Accent1">
    <w:name w:val="Grid Table 5 Dark Accent 1"/>
    <w:basedOn w:val="TableNormal"/>
    <w:uiPriority w:val="50"/>
    <w:rsid w:val="004E70C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F34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Grid1">
    <w:name w:val="Table Grid1"/>
    <w:basedOn w:val="TableNormal"/>
    <w:next w:val="TableGrid"/>
    <w:uiPriority w:val="59"/>
    <w:rsid w:val="00EC52D3"/>
    <w:rPr>
      <w:rFonts w:eastAsia="Times New Roman"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0311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24750"/>
    <w:pPr>
      <w:numPr>
        <w:numId w:val="1"/>
      </w:numPr>
      <w:contextualSpacing/>
    </w:pPr>
    <w:rPr>
      <w:rFonts w:cstheme="minorBidi"/>
      <w:sz w:val="21"/>
      <w:lang w:val="en-US"/>
    </w:rPr>
  </w:style>
  <w:style w:type="character" w:customStyle="1" w:styleId="Heading2Char">
    <w:name w:val="Heading 2 Char"/>
    <w:basedOn w:val="DefaultParagraphFont"/>
    <w:link w:val="Heading2"/>
    <w:uiPriority w:val="9"/>
    <w:semiHidden/>
    <w:rsid w:val="00276168"/>
    <w:rPr>
      <w:rFonts w:asciiTheme="majorHAnsi" w:eastAsiaTheme="majorEastAsia" w:hAnsiTheme="majorHAnsi" w:cstheme="majorBidi"/>
      <w:color w:val="2F5496" w:themeColor="accent1" w:themeShade="BF"/>
      <w:sz w:val="26"/>
      <w:szCs w:val="26"/>
      <w:lang w:val="en-IN" w:eastAsia="en-US"/>
    </w:rPr>
  </w:style>
  <w:style w:type="character" w:customStyle="1" w:styleId="Heading3Char">
    <w:name w:val="Heading 3 Char"/>
    <w:basedOn w:val="DefaultParagraphFont"/>
    <w:link w:val="Heading3"/>
    <w:uiPriority w:val="9"/>
    <w:semiHidden/>
    <w:rsid w:val="00276168"/>
    <w:rPr>
      <w:rFonts w:asciiTheme="majorHAnsi" w:eastAsiaTheme="majorEastAsia" w:hAnsiTheme="majorHAnsi" w:cstheme="majorBidi"/>
      <w:color w:val="1F3763" w:themeColor="accent1" w:themeShade="7F"/>
      <w:sz w:val="24"/>
      <w:szCs w:val="24"/>
      <w:lang w:val="en-IN" w:eastAsia="en-US"/>
    </w:rPr>
  </w:style>
  <w:style w:type="table" w:styleId="ListTable4-Accent3">
    <w:name w:val="List Table 4 Accent 3"/>
    <w:basedOn w:val="TableNormal"/>
    <w:uiPriority w:val="49"/>
    <w:rsid w:val="002668E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1">
    <w:name w:val="toc 1"/>
    <w:basedOn w:val="Normal"/>
    <w:next w:val="Normal"/>
    <w:autoRedefine/>
    <w:uiPriority w:val="39"/>
    <w:unhideWhenUsed/>
    <w:rsid w:val="002B4392"/>
    <w:pPr>
      <w:spacing w:after="100"/>
    </w:pPr>
  </w:style>
  <w:style w:type="paragraph" w:styleId="TOC2">
    <w:name w:val="toc 2"/>
    <w:basedOn w:val="Normal"/>
    <w:next w:val="Normal"/>
    <w:autoRedefine/>
    <w:uiPriority w:val="39"/>
    <w:unhideWhenUsed/>
    <w:rsid w:val="002B439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67714">
      <w:bodyDiv w:val="1"/>
      <w:marLeft w:val="0"/>
      <w:marRight w:val="0"/>
      <w:marTop w:val="0"/>
      <w:marBottom w:val="0"/>
      <w:divBdr>
        <w:top w:val="none" w:sz="0" w:space="0" w:color="auto"/>
        <w:left w:val="none" w:sz="0" w:space="0" w:color="auto"/>
        <w:bottom w:val="none" w:sz="0" w:space="0" w:color="auto"/>
        <w:right w:val="none" w:sz="0" w:space="0" w:color="auto"/>
      </w:divBdr>
    </w:div>
    <w:div w:id="216938227">
      <w:bodyDiv w:val="1"/>
      <w:marLeft w:val="0"/>
      <w:marRight w:val="0"/>
      <w:marTop w:val="0"/>
      <w:marBottom w:val="0"/>
      <w:divBdr>
        <w:top w:val="none" w:sz="0" w:space="0" w:color="auto"/>
        <w:left w:val="none" w:sz="0" w:space="0" w:color="auto"/>
        <w:bottom w:val="none" w:sz="0" w:space="0" w:color="auto"/>
        <w:right w:val="none" w:sz="0" w:space="0" w:color="auto"/>
      </w:divBdr>
    </w:div>
    <w:div w:id="410202284">
      <w:bodyDiv w:val="1"/>
      <w:marLeft w:val="0"/>
      <w:marRight w:val="0"/>
      <w:marTop w:val="0"/>
      <w:marBottom w:val="0"/>
      <w:divBdr>
        <w:top w:val="none" w:sz="0" w:space="0" w:color="auto"/>
        <w:left w:val="none" w:sz="0" w:space="0" w:color="auto"/>
        <w:bottom w:val="none" w:sz="0" w:space="0" w:color="auto"/>
        <w:right w:val="none" w:sz="0" w:space="0" w:color="auto"/>
      </w:divBdr>
    </w:div>
    <w:div w:id="499733424">
      <w:bodyDiv w:val="1"/>
      <w:marLeft w:val="0"/>
      <w:marRight w:val="0"/>
      <w:marTop w:val="0"/>
      <w:marBottom w:val="0"/>
      <w:divBdr>
        <w:top w:val="none" w:sz="0" w:space="0" w:color="auto"/>
        <w:left w:val="none" w:sz="0" w:space="0" w:color="auto"/>
        <w:bottom w:val="none" w:sz="0" w:space="0" w:color="auto"/>
        <w:right w:val="none" w:sz="0" w:space="0" w:color="auto"/>
      </w:divBdr>
      <w:divsChild>
        <w:div w:id="1265458443">
          <w:marLeft w:val="302"/>
          <w:marRight w:val="0"/>
          <w:marTop w:val="20"/>
          <w:marBottom w:val="0"/>
          <w:divBdr>
            <w:top w:val="none" w:sz="0" w:space="0" w:color="auto"/>
            <w:left w:val="none" w:sz="0" w:space="0" w:color="auto"/>
            <w:bottom w:val="none" w:sz="0" w:space="0" w:color="auto"/>
            <w:right w:val="none" w:sz="0" w:space="0" w:color="auto"/>
          </w:divBdr>
        </w:div>
      </w:divsChild>
    </w:div>
    <w:div w:id="680816569">
      <w:bodyDiv w:val="1"/>
      <w:marLeft w:val="0"/>
      <w:marRight w:val="0"/>
      <w:marTop w:val="0"/>
      <w:marBottom w:val="0"/>
      <w:divBdr>
        <w:top w:val="none" w:sz="0" w:space="0" w:color="auto"/>
        <w:left w:val="none" w:sz="0" w:space="0" w:color="auto"/>
        <w:bottom w:val="none" w:sz="0" w:space="0" w:color="auto"/>
        <w:right w:val="none" w:sz="0" w:space="0" w:color="auto"/>
      </w:divBdr>
    </w:div>
    <w:div w:id="1001468575">
      <w:bodyDiv w:val="1"/>
      <w:marLeft w:val="0"/>
      <w:marRight w:val="0"/>
      <w:marTop w:val="0"/>
      <w:marBottom w:val="0"/>
      <w:divBdr>
        <w:top w:val="none" w:sz="0" w:space="0" w:color="auto"/>
        <w:left w:val="none" w:sz="0" w:space="0" w:color="auto"/>
        <w:bottom w:val="none" w:sz="0" w:space="0" w:color="auto"/>
        <w:right w:val="none" w:sz="0" w:space="0" w:color="auto"/>
      </w:divBdr>
    </w:div>
    <w:div w:id="1078484532">
      <w:bodyDiv w:val="1"/>
      <w:marLeft w:val="0"/>
      <w:marRight w:val="0"/>
      <w:marTop w:val="0"/>
      <w:marBottom w:val="0"/>
      <w:divBdr>
        <w:top w:val="none" w:sz="0" w:space="0" w:color="auto"/>
        <w:left w:val="none" w:sz="0" w:space="0" w:color="auto"/>
        <w:bottom w:val="none" w:sz="0" w:space="0" w:color="auto"/>
        <w:right w:val="none" w:sz="0" w:space="0" w:color="auto"/>
      </w:divBdr>
    </w:div>
    <w:div w:id="1211918133">
      <w:bodyDiv w:val="1"/>
      <w:marLeft w:val="0"/>
      <w:marRight w:val="0"/>
      <w:marTop w:val="0"/>
      <w:marBottom w:val="0"/>
      <w:divBdr>
        <w:top w:val="none" w:sz="0" w:space="0" w:color="auto"/>
        <w:left w:val="none" w:sz="0" w:space="0" w:color="auto"/>
        <w:bottom w:val="none" w:sz="0" w:space="0" w:color="auto"/>
        <w:right w:val="none" w:sz="0" w:space="0" w:color="auto"/>
      </w:divBdr>
      <w:divsChild>
        <w:div w:id="52120146">
          <w:marLeft w:val="302"/>
          <w:marRight w:val="0"/>
          <w:marTop w:val="20"/>
          <w:marBottom w:val="0"/>
          <w:divBdr>
            <w:top w:val="none" w:sz="0" w:space="0" w:color="auto"/>
            <w:left w:val="none" w:sz="0" w:space="0" w:color="auto"/>
            <w:bottom w:val="none" w:sz="0" w:space="0" w:color="auto"/>
            <w:right w:val="none" w:sz="0" w:space="0" w:color="auto"/>
          </w:divBdr>
        </w:div>
      </w:divsChild>
    </w:div>
    <w:div w:id="1761676517">
      <w:bodyDiv w:val="1"/>
      <w:marLeft w:val="0"/>
      <w:marRight w:val="0"/>
      <w:marTop w:val="0"/>
      <w:marBottom w:val="0"/>
      <w:divBdr>
        <w:top w:val="none" w:sz="0" w:space="0" w:color="auto"/>
        <w:left w:val="none" w:sz="0" w:space="0" w:color="auto"/>
        <w:bottom w:val="none" w:sz="0" w:space="0" w:color="auto"/>
        <w:right w:val="none" w:sz="0" w:space="0" w:color="auto"/>
      </w:divBdr>
    </w:div>
    <w:div w:id="18466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matchpoint-partne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63D19-F030-4D0C-9833-EDB073FA8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Keshav;ck.adya@matchpoint-partners.com;Macthpoint Partners UAE</dc:creator>
  <cp:keywords/>
  <cp:lastModifiedBy>Chennakeshav Adya</cp:lastModifiedBy>
  <cp:revision>38</cp:revision>
  <cp:lastPrinted>2017-08-01T18:16:00Z</cp:lastPrinted>
  <dcterms:created xsi:type="dcterms:W3CDTF">2026-02-12T12:39:00Z</dcterms:created>
  <dcterms:modified xsi:type="dcterms:W3CDTF">2026-09-06T08:30:00Z</dcterms:modified>
</cp:coreProperties>
</file>